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2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shd w:val="solid" w:color="00FF00" w:fill="FFFF00"/>
          </w:tcPr>
          <w:p w:rsidR="00000000" w:rsidRDefault="0029381B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ВЕДОМСТВЕННЫЕ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tsans" w:hAnsi="Artsans"/>
                <w:b/>
              </w:rPr>
            </w:pPr>
            <w:r>
              <w:rPr>
                <w:rFonts w:ascii="Arial" w:hAnsi="Arial"/>
                <w:b/>
              </w:rPr>
              <w:t xml:space="preserve">        СТРОИТЕЛЬНЫЕ НОРМЫ</w:t>
            </w:r>
            <w:r>
              <w:rPr>
                <w:rFonts w:ascii="Artsans" w:hAnsi="Artsans"/>
                <w:b/>
              </w:rPr>
              <w:t xml:space="preserve"> 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063" w:type="dxa"/>
          </w:tcPr>
          <w:p w:rsidR="00000000" w:rsidRDefault="0029381B">
            <w:pPr>
              <w:tabs>
                <w:tab w:val="left" w:pos="11341"/>
              </w:tabs>
              <w:rPr>
                <w:rFonts w:ascii="Arial" w:hAnsi="Arial"/>
              </w:rPr>
            </w:pPr>
          </w:p>
        </w:tc>
        <w:tc>
          <w:tcPr>
            <w:tcW w:w="5244" w:type="dxa"/>
            <w:shd w:val="solid" w:color="00FF00" w:fill="auto"/>
          </w:tcPr>
          <w:p w:rsidR="00000000" w:rsidRDefault="0029381B">
            <w:pPr>
              <w:tabs>
                <w:tab w:val="left" w:pos="11341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shd w:val="solid" w:color="00FF00" w:fill="auto"/>
          </w:tcPr>
          <w:p w:rsidR="00000000" w:rsidRDefault="0029381B">
            <w:pPr>
              <w:tabs>
                <w:tab w:val="left" w:pos="11341"/>
              </w:tabs>
              <w:rPr>
                <w:rFonts w:ascii="Arial" w:hAnsi="Arial"/>
              </w:rPr>
            </w:pPr>
          </w:p>
        </w:tc>
        <w:tc>
          <w:tcPr>
            <w:tcW w:w="5244" w:type="dxa"/>
          </w:tcPr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П Р А В И Л А</w:t>
            </w:r>
          </w:p>
          <w:p w:rsidR="00000000" w:rsidRDefault="0029381B">
            <w:pPr>
              <w:rPr>
                <w:rFonts w:ascii="Arial" w:hAnsi="Arial"/>
                <w:b/>
              </w:rPr>
            </w:pPr>
          </w:p>
          <w:p w:rsidR="00000000" w:rsidRDefault="0029381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СОВМЕЩЕННОГО ПРОИЗВОДСТВА</w:t>
            </w:r>
          </w:p>
          <w:p w:rsidR="00000000" w:rsidRDefault="0029381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МОНТАЖНЫХ И СТРОИТЕЛЬНЫХ РАБОТ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ПРИ СООРУЖЕНИИ ПТИЦЕФАБРИК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 xml:space="preserve">          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 xml:space="preserve">          </w:t>
            </w:r>
            <w:r>
              <w:rPr>
                <w:rFonts w:ascii="Arial" w:hAnsi="Arial"/>
                <w:b/>
                <w:u w:val="single"/>
              </w:rPr>
              <w:t>ВСН  471- 86_____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u w:val="single"/>
              </w:rPr>
              <w:t xml:space="preserve">           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Минмонтажспецстрой СССР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000000" w:rsidRDefault="0029381B">
            <w:pPr>
              <w:tabs>
                <w:tab w:val="left" w:pos="11341"/>
              </w:tabs>
              <w:rPr>
                <w:rFonts w:ascii="Arial" w:hAnsi="Arial"/>
              </w:rPr>
            </w:pPr>
          </w:p>
        </w:tc>
        <w:tc>
          <w:tcPr>
            <w:tcW w:w="5244" w:type="dxa"/>
            <w:shd w:val="solid" w:color="00FF00" w:fill="auto"/>
          </w:tcPr>
          <w:p w:rsidR="00000000" w:rsidRDefault="0029381B">
            <w:pPr>
              <w:tabs>
                <w:tab w:val="left" w:pos="11341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shd w:val="solid" w:color="00FF00" w:fill="auto"/>
          </w:tcPr>
          <w:p w:rsidR="00000000" w:rsidRDefault="0029381B">
            <w:pPr>
              <w:tabs>
                <w:tab w:val="left" w:pos="11341"/>
              </w:tabs>
              <w:rPr>
                <w:rFonts w:ascii="Arial" w:hAnsi="Arial"/>
              </w:rPr>
            </w:pPr>
          </w:p>
        </w:tc>
        <w:tc>
          <w:tcPr>
            <w:tcW w:w="5244" w:type="dxa"/>
          </w:tcPr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Центральное бюро научно-технической информации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</w:t>
            </w:r>
          </w:p>
          <w:p w:rsidR="00000000" w:rsidRDefault="0029381B">
            <w:pPr>
              <w:tabs>
                <w:tab w:val="left" w:pos="1134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Москва 1986</w:t>
            </w: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  <w:p w:rsidR="00000000" w:rsidRDefault="0029381B">
            <w:pPr>
              <w:tabs>
                <w:tab w:val="left" w:pos="11341"/>
              </w:tabs>
              <w:rPr>
                <w:rFonts w:ascii="Arial" w:hAnsi="Arial"/>
                <w:b/>
              </w:rPr>
            </w:pPr>
          </w:p>
        </w:tc>
      </w:tr>
    </w:tbl>
    <w:p w:rsidR="00000000" w:rsidRDefault="0029381B">
      <w:pPr>
        <w:rPr>
          <w:rFonts w:ascii="Arial" w:hAnsi="Arial"/>
          <w:sz w:val="24"/>
        </w:rPr>
      </w:pPr>
    </w:p>
    <w:p w:rsidR="00000000" w:rsidRDefault="0029381B">
      <w:pPr>
        <w:ind w:right="2834" w:firstLine="284"/>
        <w:jc w:val="both"/>
      </w:pPr>
      <w:r>
        <w:t>Правила устанавливают порядок и последовательность совмещенного со строительством выполнения работ по блочному монтажу оборудования птицефабрик.</w:t>
      </w:r>
    </w:p>
    <w:p w:rsidR="00000000" w:rsidRDefault="0029381B">
      <w:pPr>
        <w:ind w:right="2834" w:firstLine="284"/>
        <w:jc w:val="both"/>
      </w:pPr>
      <w:r>
        <w:t>Предназначены для проектных организаций заказчика (генпроектировщика), строительных организаций (генподрядчика) и организаций, выполня</w:t>
      </w:r>
      <w:r>
        <w:t>ющих проект производства монтажных работ и монтаж оборудования.</w:t>
      </w:r>
    </w:p>
    <w:p w:rsidR="00000000" w:rsidRDefault="0029381B">
      <w:pPr>
        <w:ind w:right="2834" w:firstLine="284"/>
        <w:jc w:val="both"/>
      </w:pPr>
      <w:r>
        <w:t xml:space="preserve">Разработаны ВНИПКИлегпродмонтажем. </w:t>
      </w:r>
    </w:p>
    <w:p w:rsidR="00000000" w:rsidRDefault="0029381B">
      <w:pPr>
        <w:ind w:right="2834" w:firstLine="284"/>
        <w:jc w:val="both"/>
      </w:pPr>
      <w:r>
        <w:t>Составители: В.И.Кобцев, М.А.Хасиев, М.С.Лейтас</w:t>
      </w:r>
    </w:p>
    <w:p w:rsidR="00000000" w:rsidRDefault="0029381B">
      <w:pPr>
        <w:ind w:right="2834" w:firstLine="709"/>
        <w:jc w:val="both"/>
        <w:rPr>
          <w:rFonts w:ascii="Arial" w:hAnsi="Arial"/>
          <w:sz w:val="24"/>
        </w:rPr>
      </w:pPr>
    </w:p>
    <w:p w:rsidR="00000000" w:rsidRDefault="0029381B">
      <w:pPr>
        <w:ind w:left="709" w:right="2834" w:hanging="709"/>
        <w:jc w:val="both"/>
      </w:pPr>
      <w:r>
        <w:t>Согласованы:</w:t>
      </w:r>
    </w:p>
    <w:p w:rsidR="00000000" w:rsidRDefault="0029381B">
      <w:pPr>
        <w:ind w:left="709" w:right="2834" w:hanging="709"/>
        <w:jc w:val="both"/>
      </w:pPr>
    </w:p>
    <w:p w:rsidR="00000000" w:rsidRDefault="0029381B">
      <w:pPr>
        <w:ind w:left="709" w:right="2834" w:hanging="709"/>
        <w:jc w:val="both"/>
      </w:pPr>
      <w:r>
        <w:t>Госстроем СССР</w:t>
      </w:r>
    </w:p>
    <w:p w:rsidR="00000000" w:rsidRDefault="0029381B">
      <w:pPr>
        <w:ind w:left="1429" w:right="2834" w:hanging="709"/>
        <w:jc w:val="both"/>
      </w:pPr>
      <w:r>
        <w:t>Зам. Председателя</w:t>
      </w:r>
      <w:r>
        <w:tab/>
      </w:r>
      <w:r>
        <w:tab/>
      </w:r>
      <w:r>
        <w:tab/>
      </w:r>
      <w:r>
        <w:rPr>
          <w:u w:val="single"/>
        </w:rPr>
        <w:t>Д.А.Паньковский</w:t>
      </w:r>
    </w:p>
    <w:p w:rsidR="00000000" w:rsidRDefault="0029381B">
      <w:pPr>
        <w:ind w:left="709" w:right="2834" w:hanging="709"/>
        <w:jc w:val="both"/>
      </w:pPr>
      <w:r>
        <w:t>Минстроем СССР</w:t>
      </w:r>
    </w:p>
    <w:p w:rsidR="00000000" w:rsidRDefault="0029381B">
      <w:pPr>
        <w:ind w:left="1429" w:right="2834" w:hanging="709"/>
        <w:jc w:val="both"/>
      </w:pPr>
      <w:r>
        <w:t>Зам. начальника Главного</w:t>
      </w:r>
    </w:p>
    <w:p w:rsidR="00000000" w:rsidRDefault="0029381B">
      <w:pPr>
        <w:ind w:left="1429" w:right="2834" w:hanging="709"/>
        <w:jc w:val="both"/>
      </w:pPr>
      <w:r>
        <w:t>технического управления</w:t>
      </w:r>
      <w:r>
        <w:tab/>
      </w:r>
      <w:r>
        <w:tab/>
      </w:r>
      <w:r>
        <w:rPr>
          <w:u w:val="single"/>
        </w:rPr>
        <w:t>Б.И.Кормилицын</w:t>
      </w:r>
    </w:p>
    <w:p w:rsidR="00000000" w:rsidRDefault="0029381B">
      <w:pPr>
        <w:ind w:left="709" w:right="2834" w:hanging="709"/>
        <w:jc w:val="both"/>
      </w:pPr>
      <w:r>
        <w:t xml:space="preserve">Минсельстроем СССР </w:t>
      </w:r>
    </w:p>
    <w:p w:rsidR="00000000" w:rsidRDefault="0029381B">
      <w:pPr>
        <w:ind w:left="709" w:right="2834"/>
        <w:jc w:val="both"/>
      </w:pPr>
      <w:r>
        <w:t>Начальник Главного</w:t>
      </w:r>
    </w:p>
    <w:p w:rsidR="00000000" w:rsidRDefault="0029381B">
      <w:pPr>
        <w:ind w:left="1429" w:right="2834" w:hanging="709"/>
        <w:jc w:val="both"/>
      </w:pPr>
      <w:r>
        <w:t>технического управления</w:t>
      </w:r>
      <w:r>
        <w:tab/>
      </w:r>
      <w:r>
        <w:tab/>
      </w:r>
      <w:r>
        <w:rPr>
          <w:u w:val="single"/>
        </w:rPr>
        <w:t>В.Я.Макарчук</w:t>
      </w:r>
    </w:p>
    <w:p w:rsidR="00000000" w:rsidRDefault="0029381B">
      <w:pPr>
        <w:ind w:left="709" w:right="2834" w:hanging="709"/>
        <w:jc w:val="both"/>
      </w:pPr>
      <w:r>
        <w:t>Минсельхозом СССР</w:t>
      </w:r>
    </w:p>
    <w:p w:rsidR="00000000" w:rsidRDefault="0029381B">
      <w:pPr>
        <w:ind w:left="1429" w:right="2834" w:hanging="709"/>
        <w:jc w:val="both"/>
      </w:pPr>
      <w:r>
        <w:t>Зам. начальника Главного</w:t>
      </w:r>
    </w:p>
    <w:p w:rsidR="00000000" w:rsidRDefault="0029381B">
      <w:pPr>
        <w:ind w:left="1429" w:right="2834" w:hanging="709"/>
        <w:jc w:val="both"/>
      </w:pPr>
      <w:r>
        <w:t>управления капитального</w:t>
      </w:r>
    </w:p>
    <w:p w:rsidR="00000000" w:rsidRDefault="0029381B">
      <w:pPr>
        <w:ind w:left="1429" w:right="2834" w:hanging="709"/>
        <w:jc w:val="both"/>
      </w:pPr>
      <w:r>
        <w:t>строительства</w:t>
      </w:r>
      <w:r>
        <w:tab/>
      </w:r>
      <w:r>
        <w:tab/>
      </w:r>
      <w:r>
        <w:tab/>
      </w:r>
      <w:r>
        <w:tab/>
      </w:r>
      <w:r>
        <w:rPr>
          <w:u w:val="single"/>
        </w:rPr>
        <w:t>В.Н.Мерзляков</w:t>
      </w:r>
    </w:p>
    <w:p w:rsidR="00000000" w:rsidRDefault="0029381B">
      <w:pPr>
        <w:ind w:left="709" w:hanging="709"/>
        <w:jc w:val="both"/>
        <w:rPr>
          <w:rFonts w:ascii="Arial" w:hAnsi="Arial"/>
          <w:sz w:val="24"/>
        </w:rPr>
      </w:pPr>
    </w:p>
    <w:p w:rsidR="00000000" w:rsidRDefault="0029381B">
      <w:pPr>
        <w:ind w:left="709" w:hanging="709"/>
        <w:jc w:val="right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</w:tcBorders>
          </w:tcPr>
          <w:p w:rsidR="00000000" w:rsidRDefault="0029381B">
            <w:pPr>
              <w:rPr>
                <w:sz w:val="16"/>
              </w:rPr>
            </w:pPr>
            <w:r>
              <w:rPr>
                <w:sz w:val="16"/>
              </w:rPr>
              <w:br w:type="page"/>
              <w:t>Министерство монтажных</w:t>
            </w:r>
          </w:p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специальных стр</w:t>
            </w:r>
            <w:r>
              <w:rPr>
                <w:sz w:val="16"/>
              </w:rPr>
              <w:t>оительных работ СССР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Ведомственные</w:t>
            </w:r>
          </w:p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ВСН 471-86</w:t>
            </w:r>
          </w:p>
          <w:p w:rsidR="00000000" w:rsidRDefault="0029381B">
            <w:pPr>
              <w:pBdr>
                <w:top w:val="single" w:sz="6" w:space="1" w:color="auto"/>
              </w:pBdr>
              <w:jc w:val="center"/>
              <w:rPr>
                <w:sz w:val="16"/>
              </w:rPr>
            </w:pPr>
            <w:r>
              <w:rPr>
                <w:sz w:val="16"/>
              </w:rPr>
              <w:t>Минмонтажспецстрой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</w:tcBorders>
          </w:tcPr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(Минмонтажспецстрой СССР)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Правила совмещенного производства монтажных и строительных работ при сооружении птицефабрик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29381B">
            <w:pPr>
              <w:jc w:val="center"/>
              <w:rPr>
                <w:sz w:val="16"/>
              </w:rPr>
            </w:pPr>
          </w:p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Разработаны впервые</w:t>
            </w:r>
          </w:p>
        </w:tc>
      </w:tr>
    </w:tbl>
    <w:p w:rsidR="00000000" w:rsidRDefault="0029381B">
      <w:pPr>
        <w:jc w:val="both"/>
        <w:rPr>
          <w:rFonts w:ascii="Arial" w:hAnsi="Arial"/>
          <w:sz w:val="24"/>
        </w:rPr>
      </w:pPr>
    </w:p>
    <w:p w:rsidR="00000000" w:rsidRDefault="0029381B">
      <w:pPr>
        <w:ind w:right="2834" w:firstLine="284"/>
        <w:jc w:val="both"/>
      </w:pPr>
      <w:r>
        <w:t>Настоящие правила устанавливают порядок и последовательность совмещенного со строительством выполнения работ по блочному монтажу оборудования для содержания и выращивания птицы при сооружении одноэтажных птицефабрик павильонной застройки (далее - оборудование).</w:t>
      </w:r>
    </w:p>
    <w:p w:rsidR="00000000" w:rsidRDefault="0029381B">
      <w:pPr>
        <w:ind w:right="2834" w:firstLine="284"/>
        <w:jc w:val="both"/>
      </w:pPr>
      <w:r>
        <w:t>Правила не распрост</w:t>
      </w:r>
      <w:r>
        <w:t>раняются на монтаж оборудования, поставляемого на экспорт.</w:t>
      </w:r>
    </w:p>
    <w:p w:rsidR="00000000" w:rsidRDefault="0029381B">
      <w:pPr>
        <w:ind w:right="2834" w:firstLine="284"/>
        <w:jc w:val="both"/>
      </w:pPr>
      <w:r>
        <w:t>Правила обязательны для проектных организаций заказчика (генпроекти-ровщика), организаций, проектирующих технологию монтажа оборудования и выполняющих его монтаж, и строительных организаций (генподрядчика).</w:t>
      </w:r>
    </w:p>
    <w:p w:rsidR="00000000" w:rsidRDefault="0029381B">
      <w:pPr>
        <w:ind w:firstLine="709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</w:t>
            </w:r>
          </w:p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Главлегпродмонтажем</w:t>
            </w:r>
          </w:p>
        </w:tc>
        <w:tc>
          <w:tcPr>
            <w:tcW w:w="2835" w:type="dxa"/>
          </w:tcPr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Утверждены зам. министра монтажных и специальных строительных работ СССР </w:t>
            </w:r>
          </w:p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23 декабря 1985 г. </w:t>
            </w:r>
          </w:p>
        </w:tc>
        <w:tc>
          <w:tcPr>
            <w:tcW w:w="1701" w:type="dxa"/>
          </w:tcPr>
          <w:p w:rsidR="00000000" w:rsidRDefault="002938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действие с 1 июля 1986 г.</w:t>
            </w:r>
          </w:p>
        </w:tc>
      </w:tr>
    </w:tbl>
    <w:p w:rsidR="00000000" w:rsidRDefault="0029381B">
      <w:pPr>
        <w:ind w:firstLine="709"/>
        <w:jc w:val="both"/>
        <w:rPr>
          <w:rFonts w:ascii="Arial" w:hAnsi="Arial"/>
          <w:sz w:val="24"/>
        </w:rPr>
      </w:pPr>
    </w:p>
    <w:p w:rsidR="00000000" w:rsidRDefault="0029381B">
      <w:pPr>
        <w:ind w:right="2834" w:firstLine="284"/>
        <w:jc w:val="both"/>
      </w:pPr>
      <w:r>
        <w:t xml:space="preserve">Требования настоящих правил обязательны наряду с требованиями СНиП 3.01.01-85, </w:t>
      </w:r>
      <w:r>
        <w:t>СНиП 3.05.05-84, а также инструкций заводов-изготовителей по эксплуатации и монтажу оборудования птицефабрик.</w:t>
      </w:r>
    </w:p>
    <w:p w:rsidR="00000000" w:rsidRDefault="0029381B">
      <w:pPr>
        <w:ind w:right="2834" w:firstLine="284"/>
        <w:jc w:val="both"/>
      </w:pPr>
      <w:r>
        <w:t>1. В подлежащей утверждению проектно-сметной документации, в том числе проекте организации строительства (ПОС), а также проекте производства механомонтажных работ (ППР) должно быть предусмотрено совмещенное со строительством выполнение работ по блочному монтажу оборудования.</w:t>
      </w:r>
    </w:p>
    <w:p w:rsidR="00000000" w:rsidRDefault="0029381B">
      <w:pPr>
        <w:ind w:right="2834" w:firstLine="284"/>
        <w:jc w:val="both"/>
      </w:pPr>
      <w:r>
        <w:t>2. Организация, выполняющая монтаж оборудования, должна передать генподрядчику предложения по совмещенному выполнению строител</w:t>
      </w:r>
      <w:r>
        <w:t>ьно-монтажных работ и блочному монтажу оборудования в течение двух месяцев после получения от него проектной документации. Копию этих предложений следует направить организации, разрабатывающей ППР.</w:t>
      </w:r>
    </w:p>
    <w:p w:rsidR="00000000" w:rsidRDefault="0029381B">
      <w:pPr>
        <w:ind w:right="2834" w:firstLine="284"/>
        <w:jc w:val="both"/>
      </w:pPr>
      <w:r>
        <w:t>3. В соответствии с ПОС должны быть предусмотрены помещения для укрупнительной сборки оборудования и предмонтажного складирования блоков. В качестве указанных помещений должны использоваться первый построенный птичник, исходящий и пусковой комплекс или другие здания комплекса.</w:t>
      </w:r>
    </w:p>
    <w:p w:rsidR="00000000" w:rsidRDefault="0029381B">
      <w:pPr>
        <w:ind w:right="2834" w:firstLine="284"/>
        <w:jc w:val="both"/>
      </w:pPr>
      <w:r>
        <w:t>4. К началу монтажных работ необходи</w:t>
      </w:r>
      <w:r>
        <w:t>мо иметь на складе заказчика не менее двух комплектов оборудования птичников.</w:t>
      </w:r>
    </w:p>
    <w:p w:rsidR="00000000" w:rsidRDefault="0029381B">
      <w:pPr>
        <w:ind w:right="2834" w:firstLine="284"/>
        <w:jc w:val="both"/>
      </w:pPr>
      <w:r>
        <w:t>Поставляемое оборудование должно соответствовать требованиям ГОСТ 24444-80, стандартов и технических условий на конкретные изделия.</w:t>
      </w:r>
    </w:p>
    <w:p w:rsidR="00000000" w:rsidRDefault="0029381B">
      <w:pPr>
        <w:ind w:right="2834" w:firstLine="284"/>
        <w:jc w:val="both"/>
      </w:pPr>
      <w:r>
        <w:t>5. Укрупнительную сборку оборудования (изготовление блоков) следует производить на технологической линии укрупнительной сборки, оснащенной тележками-кондукторами для сборки блоков.</w:t>
      </w:r>
    </w:p>
    <w:p w:rsidR="00000000" w:rsidRDefault="0029381B">
      <w:pPr>
        <w:ind w:right="2834" w:firstLine="284"/>
        <w:jc w:val="both"/>
      </w:pPr>
      <w:r>
        <w:t>6. Блоки клеточных батарей рекомендуется выполнять в виде объемных секций длиной 4-6 м. Габариты и масса блоков определяю</w:t>
      </w:r>
      <w:r>
        <w:t>тся конструктивными особенностями различных типов клеточных батарей и условиями транспортирования блоков.</w:t>
      </w:r>
    </w:p>
    <w:p w:rsidR="00000000" w:rsidRDefault="0029381B">
      <w:pPr>
        <w:ind w:right="2834" w:firstLine="284"/>
        <w:jc w:val="both"/>
      </w:pPr>
      <w:r>
        <w:t>7. Монтаж оборудования в птичнике следует начинать после выполнения отделочных работ и устройства чистых полов.</w:t>
      </w:r>
    </w:p>
    <w:p w:rsidR="00000000" w:rsidRDefault="0029381B">
      <w:pPr>
        <w:ind w:right="2834" w:firstLine="284"/>
        <w:jc w:val="both"/>
      </w:pPr>
      <w:r>
        <w:t xml:space="preserve">8. Для транспортирования блоков оборудования к месту монтажа в торцах птичников должны быть предусмотрены соответствующие монтажные проемы. </w:t>
      </w:r>
    </w:p>
    <w:p w:rsidR="00000000" w:rsidRDefault="0029381B">
      <w:pPr>
        <w:ind w:right="2834" w:firstLine="284"/>
        <w:jc w:val="both"/>
      </w:pPr>
      <w:r>
        <w:t>9. Совмещение строительных и монтажных работ следует осуществлять, имея в виду, что при строительной готовности первого птичника начинается монтаж оборуд</w:t>
      </w:r>
      <w:r>
        <w:t>ования и одновременно продолжается строительство птичников пускового комплекса. Птичники по мере готовности последовательно сдают в монтаж.</w:t>
      </w:r>
    </w:p>
    <w:sectPr w:rsidR="00000000">
      <w:footerReference w:type="default" r:id="rId6"/>
      <w:footerReference w:type="first" r:id="rId7"/>
      <w:type w:val="continuous"/>
      <w:pgSz w:w="11907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81B">
      <w:r>
        <w:separator/>
      </w:r>
    </w:p>
  </w:endnote>
  <w:endnote w:type="continuationSeparator" w:id="0">
    <w:p w:rsidR="00000000" w:rsidRDefault="0029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381B">
    <w:pPr>
      <w:pStyle w:val="a3"/>
      <w:framePr w:wrap="auto" w:vAnchor="text" w:hAnchor="margin" w:xAlign="center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381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381B">
      <w:r>
        <w:separator/>
      </w:r>
    </w:p>
  </w:footnote>
  <w:footnote w:type="continuationSeparator" w:id="0">
    <w:p w:rsidR="00000000" w:rsidRDefault="0029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81B"/>
    <w:rsid w:val="002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3822</Characters>
  <Application>Microsoft Office Word</Application>
  <DocSecurity>0</DocSecurity>
  <Lines>31</Lines>
  <Paragraphs>8</Paragraphs>
  <ScaleCrop>false</ScaleCrop>
  <Company>Информационный центр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Галина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