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6A23">
      <w:pPr>
        <w:ind w:right="2069"/>
        <w:jc w:val="center"/>
      </w:pPr>
      <w:bookmarkStart w:id="0" w:name="_GoBack"/>
      <w:bookmarkEnd w:id="0"/>
      <w:r>
        <w:t>ГОСУДАРСТВЕННЫЙ КОМИТЕТ РОССИЙСКОЙ ФЕДЕРАЦИИ</w:t>
      </w:r>
    </w:p>
    <w:p w:rsidR="00000000" w:rsidRDefault="00DD6A23">
      <w:pPr>
        <w:ind w:right="2069"/>
        <w:jc w:val="center"/>
      </w:pPr>
      <w:r>
        <w:t>ПО ВОПРОСАМ АРХИТЕКТУРЫ И СТРОИТЕЛЬСТВА</w:t>
      </w:r>
    </w:p>
    <w:p w:rsidR="00000000" w:rsidRDefault="00DD6A23">
      <w:pPr>
        <w:ind w:right="2069"/>
        <w:jc w:val="center"/>
      </w:pPr>
    </w:p>
    <w:p w:rsidR="00000000" w:rsidRDefault="00DD6A23">
      <w:pPr>
        <w:ind w:right="2069"/>
        <w:jc w:val="center"/>
      </w:pPr>
      <w:r>
        <w:t>ПРИКАЗ</w:t>
      </w:r>
    </w:p>
    <w:p w:rsidR="00000000" w:rsidRDefault="00DD6A23">
      <w:pPr>
        <w:ind w:right="2069"/>
        <w:jc w:val="center"/>
      </w:pPr>
    </w:p>
    <w:p w:rsidR="00000000" w:rsidRDefault="00DD6A23">
      <w:pPr>
        <w:ind w:right="2069"/>
        <w:jc w:val="center"/>
      </w:pPr>
      <w:r>
        <w:t>N 17-59                         6 августа 1993 г.</w:t>
      </w:r>
    </w:p>
    <w:p w:rsidR="00000000" w:rsidRDefault="00DD6A23"/>
    <w:p w:rsidR="00000000" w:rsidRDefault="00DD6A23">
      <w:pPr>
        <w:ind w:right="2069"/>
        <w:jc w:val="center"/>
      </w:pPr>
      <w:r>
        <w:t>Об утверждении рекомендаций по установлению конкретных</w:t>
      </w:r>
    </w:p>
    <w:p w:rsidR="00000000" w:rsidRDefault="00DD6A23">
      <w:pPr>
        <w:ind w:right="2069"/>
        <w:jc w:val="center"/>
      </w:pPr>
      <w:r>
        <w:t>размеров штрафов за правонарушения в области строительст</w:t>
      </w:r>
      <w:r>
        <w:t>ва</w:t>
      </w:r>
    </w:p>
    <w:p w:rsidR="00000000" w:rsidRDefault="00DD6A23"/>
    <w:p w:rsidR="00000000" w:rsidRDefault="00DD6A23">
      <w:pPr>
        <w:ind w:right="2069" w:firstLine="284"/>
      </w:pPr>
      <w:r>
        <w:t>В целях    повышения    эффективности    деятельности   органов Госархстройнадзора России и в соответствии с  Положением  о  порядке наложения штрафов   за   правонарушения   в  области  строительства, утвержденным постановлением   Совета   Министров   -   Правительства Российской Федерации от 27 июля 1993 г. N 729,</w:t>
      </w:r>
    </w:p>
    <w:p w:rsidR="00000000" w:rsidRDefault="00DD6A23"/>
    <w:p w:rsidR="00000000" w:rsidRDefault="00DD6A23">
      <w:pPr>
        <w:ind w:firstLine="284"/>
      </w:pPr>
      <w:r>
        <w:t>приказываю:</w:t>
      </w:r>
    </w:p>
    <w:p w:rsidR="00000000" w:rsidRDefault="00DD6A23"/>
    <w:p w:rsidR="00000000" w:rsidRDefault="00DD6A23">
      <w:pPr>
        <w:ind w:right="2069" w:firstLine="284"/>
      </w:pPr>
      <w:r>
        <w:t>1. Утвердить   прилагаемые   Рекомендации    по    установлению конкретных размеров    штрафов    за    правонарушения   в   области строительства.</w:t>
      </w:r>
    </w:p>
    <w:p w:rsidR="00000000" w:rsidRDefault="00DD6A23"/>
    <w:p w:rsidR="00000000" w:rsidRDefault="00DD6A23">
      <w:pPr>
        <w:ind w:right="2069" w:firstLine="284"/>
      </w:pPr>
      <w:r>
        <w:t xml:space="preserve">2. Главгосархстройнадзору  </w:t>
      </w:r>
      <w:r>
        <w:t>России  (В.Д.Немерцеву)  в  месячный срок разработать и утвердить методические рекомендации, определяющие основные виды правонарушений в области строительства и промышленности строительных материалов.</w:t>
      </w:r>
    </w:p>
    <w:p w:rsidR="00000000" w:rsidRDefault="00DD6A23"/>
    <w:p w:rsidR="00000000" w:rsidRDefault="00DD6A23">
      <w:pPr>
        <w:ind w:right="2069" w:firstLine="284"/>
      </w:pPr>
      <w:r>
        <w:t>3. Контроль  за  исполнением  настоящего  приказа  возложить  на заместителя Председателя Л.В.Хихлуху.</w:t>
      </w:r>
    </w:p>
    <w:p w:rsidR="00000000" w:rsidRDefault="00DD6A23"/>
    <w:p w:rsidR="00000000" w:rsidRDefault="00DD6A23"/>
    <w:p w:rsidR="00000000" w:rsidRDefault="00DD6A23">
      <w:pPr>
        <w:ind w:firstLine="284"/>
      </w:pPr>
      <w:r>
        <w:t>Председатель Комитета                             Е.В.Басин</w:t>
      </w:r>
    </w:p>
    <w:p w:rsidR="00000000" w:rsidRDefault="00DD6A23"/>
    <w:p w:rsidR="00000000" w:rsidRDefault="00DD6A23"/>
    <w:p w:rsidR="00000000" w:rsidRDefault="00DD6A23">
      <w:pPr>
        <w:ind w:right="2069" w:firstLine="284"/>
        <w:jc w:val="center"/>
      </w:pPr>
      <w:r>
        <w:t>РЕКОМЕНДАЦИИ</w:t>
      </w:r>
    </w:p>
    <w:p w:rsidR="00000000" w:rsidRDefault="00DD6A23">
      <w:pPr>
        <w:ind w:right="2069"/>
        <w:jc w:val="center"/>
      </w:pPr>
      <w:r>
        <w:t>по установлению конкретных размеров штрафов за правонарушения в</w:t>
      </w:r>
    </w:p>
    <w:p w:rsidR="00000000" w:rsidRDefault="00DD6A23">
      <w:pPr>
        <w:ind w:right="2069"/>
        <w:jc w:val="center"/>
      </w:pPr>
      <w:r>
        <w:t>области строительства</w:t>
      </w:r>
    </w:p>
    <w:p w:rsidR="00000000" w:rsidRDefault="00DD6A23"/>
    <w:p w:rsidR="00000000" w:rsidRDefault="00DD6A23">
      <w:pPr>
        <w:ind w:right="2069" w:firstLine="284"/>
      </w:pPr>
      <w:r>
        <w:t>1. Настоящие  Рекомендации разработаны в со</w:t>
      </w:r>
      <w:r>
        <w:t>ответствии с Законом Российской Федерации от 17 декабря 1992 г. N 4121-1 "Об административной ответственности предприятий, учреждений, организаций и объединений за правонарушения в области строительства" и Положением о порядке наложения штрафов за правонарушения в области строительства,  утвержденным  постановлением  Совета   Министров - Правительства Российской Федерации от 27 июля 1993 г. N 729, с целью создания на территории Российской Федерации единой нормативно-методологической основы по оценке нарушен</w:t>
      </w:r>
      <w:r>
        <w:t>ий требований утвержденных проектов и нормативных документов в области строительства и промышленности строительных материалов и установлению конкретных размеров налагаемых штрафов.</w:t>
      </w:r>
    </w:p>
    <w:p w:rsidR="00000000" w:rsidRDefault="00DD6A23"/>
    <w:p w:rsidR="00000000" w:rsidRDefault="00DD6A23">
      <w:pPr>
        <w:ind w:right="2069" w:firstLine="284"/>
      </w:pPr>
      <w:r>
        <w:t>2.Рекомендации предназначены    для     применения     органами Государственного архитектурно-строительного    надзора    Российской Федерации (Госархстройнадзора России) при рассмотрении  ими  дел  об административной ответственности   за   правонарушения   в   области строительства, по которым вышеуказанным Законом установлены</w:t>
      </w:r>
      <w:r>
        <w:t xml:space="preserve">  верхний и нижний пределы размера штрафа.</w:t>
      </w:r>
    </w:p>
    <w:p w:rsidR="00000000" w:rsidRDefault="00DD6A23"/>
    <w:p w:rsidR="00000000" w:rsidRDefault="00DD6A23">
      <w:pPr>
        <w:ind w:right="2069" w:firstLine="284"/>
      </w:pPr>
      <w:r>
        <w:lastRenderedPageBreak/>
        <w:t>За строительство   объекта   без  полученного  в  установленном порядке разрешения,  осуществление  строительной  деятельности   без лицензии, нарушение  правил приемки объекта в эксплуатацию штрафы во всех случаях устанавливаются в размерах, соответственно:</w:t>
      </w:r>
    </w:p>
    <w:p w:rsidR="00000000" w:rsidRDefault="00DD6A23">
      <w:r>
        <w:t xml:space="preserve">     100 тыс. руб., 250 тыс.руб. и 100 тыс.руб.</w:t>
      </w:r>
    </w:p>
    <w:p w:rsidR="00000000" w:rsidRDefault="00DD6A23"/>
    <w:p w:rsidR="00000000" w:rsidRDefault="00DD6A23">
      <w:pPr>
        <w:ind w:right="2069" w:firstLine="284"/>
      </w:pPr>
      <w:r>
        <w:t>3. Административной    ответственности    подлежат   нарушения, влекущие за собой снижение прочностных параметров или функциональной надежности строительных  ма</w:t>
      </w:r>
      <w:r>
        <w:t>териалов,  конструкций и изделий,  потерю или снижение прочности,  устойчивости,  надежности зданий, строений, сооружений, их частей или отдельных конструктивных элементов.</w:t>
      </w:r>
    </w:p>
    <w:p w:rsidR="00000000" w:rsidRDefault="00DD6A23"/>
    <w:p w:rsidR="00000000" w:rsidRDefault="00DD6A23">
      <w:pPr>
        <w:ind w:right="2069" w:firstLine="284"/>
      </w:pPr>
      <w:r>
        <w:t>При этом   под   "потерей   прочности"   понимается  разрушение материала, конструкции,  изделия под действием расчетных нагрузок  и воздействий, недопустимое   снижение   физико-механических   свойств грунтов основания,повлекшие  полную  или  частичную  потерю  несущей способности здания,  строения,  сооружения,  их частей или отдельны</w:t>
      </w:r>
      <w:r>
        <w:t>х конструктивных элементов.</w:t>
      </w:r>
    </w:p>
    <w:p w:rsidR="00000000" w:rsidRDefault="00DD6A23"/>
    <w:p w:rsidR="00000000" w:rsidRDefault="00DD6A23">
      <w:pPr>
        <w:ind w:right="2069" w:firstLine="284"/>
      </w:pPr>
      <w:r>
        <w:t>Под "потерей устойчивости" понимается выведение здания, строения, сооружения   или   их   отдельных   частей   из  состояния устойчивого равновесия, повлекшее недопустимые остаточные деформации (осадки, крен, сдвиг и т.д.) либо разрушение здания, строения, сооружения или их частей. Состояние "устойчивого равновесия" - это равновесие, при котором после устранения причин,  вызывающих какие-либо возможные отклонения системы, она возвращается в исходное или близкое к исходному состо</w:t>
      </w:r>
      <w:r>
        <w:t>яние.</w:t>
      </w:r>
    </w:p>
    <w:p w:rsidR="00000000" w:rsidRDefault="00DD6A23"/>
    <w:p w:rsidR="00000000" w:rsidRDefault="00DD6A23">
      <w:pPr>
        <w:ind w:right="2069" w:firstLine="284"/>
      </w:pPr>
      <w:r>
        <w:t>Под "снижением прочности" понимается уменьшение регламентированных значений    показателей    качества    материала, конструкции, изделия, узлов их сопряжения, снижение физико-механических свойств  грунтов основания, которые под действием расчетных нагрузок и воздействий в процессе дальнейшего строительства или эксплуатации могут привести к  разрушению  здания, строения, сооружения,   их   частей   или  отдельных  конструктивных элементов.</w:t>
      </w:r>
    </w:p>
    <w:p w:rsidR="00000000" w:rsidRDefault="00DD6A23"/>
    <w:p w:rsidR="00000000" w:rsidRDefault="00DD6A23">
      <w:pPr>
        <w:ind w:right="2069" w:firstLine="284"/>
      </w:pPr>
      <w:r>
        <w:t>Под "снижением устойчивости" понимается уменьшение  способно</w:t>
      </w:r>
      <w:r>
        <w:t>сти здания, строения,  сооружения  или их отдельных частей сохранять под действием расчетных нагрузок  и  воздействий  состояние  устойчивого равновесия, что в процессе дальнейшего строительства или эксплуатации может привести  к  деформации  или  разрушению  здания, строения, сооружения или их отдельных частей.</w:t>
      </w:r>
    </w:p>
    <w:p w:rsidR="00000000" w:rsidRDefault="00DD6A23"/>
    <w:p w:rsidR="00000000" w:rsidRDefault="00DD6A23">
      <w:pPr>
        <w:ind w:right="2069" w:firstLine="284"/>
      </w:pPr>
      <w:r>
        <w:t>Под "снижением   надежности"  понимается  снижение  способности здания, сооружения, их инженерных систем, несущих и ограждающих конструкций в процессе эксплуатации сохранять значения нормируемых по</w:t>
      </w:r>
      <w:r>
        <w:t>казателей в заданных пределах.</w:t>
      </w:r>
    </w:p>
    <w:p w:rsidR="00000000" w:rsidRDefault="00DD6A23"/>
    <w:p w:rsidR="00000000" w:rsidRDefault="00DD6A23">
      <w:pPr>
        <w:ind w:right="2069" w:firstLine="284"/>
      </w:pPr>
      <w:r>
        <w:t>4. Основные виды возможных нарушений строительных норм и правил, государственных стандартов,  технических  условий, утвержденных проектов, других обязательных для исполнения нормативно-технических документов при выполнении строительно-монтажных работ, производстве строительных материалов, конструкций и изделий, за которые предусмотрена административная ответственность, определяются методическими рекомендациями Главной инспекции Госархстройнадзора России.</w:t>
      </w:r>
    </w:p>
    <w:p w:rsidR="00000000" w:rsidRDefault="00DD6A23"/>
    <w:p w:rsidR="00000000" w:rsidRDefault="00DD6A23">
      <w:pPr>
        <w:ind w:right="2069" w:firstLine="284"/>
      </w:pPr>
      <w:r>
        <w:lastRenderedPageBreak/>
        <w:t>5. Решение  о  соста</w:t>
      </w:r>
      <w:r>
        <w:t>влении протокола о правонарушении в области строительства по  результатам  проведенной  проверки  принимается  в следующих случаях:</w:t>
      </w:r>
    </w:p>
    <w:p w:rsidR="00000000" w:rsidRDefault="00DD6A23"/>
    <w:p w:rsidR="00000000" w:rsidRDefault="00DD6A23">
      <w:pPr>
        <w:ind w:right="2069" w:firstLine="284"/>
      </w:pPr>
      <w:r>
        <w:t>если допущено нарушение  организационно-правового  порядка  при строительстве объекта  или при производстве строительных материалов, конструкций и изделий;</w:t>
      </w:r>
    </w:p>
    <w:p w:rsidR="00000000" w:rsidRDefault="00DD6A23"/>
    <w:p w:rsidR="00000000" w:rsidRDefault="00DD6A23">
      <w:pPr>
        <w:ind w:right="2069" w:firstLine="284"/>
      </w:pPr>
      <w:r>
        <w:t>при выявлении  нарушения,  влекущего за собой потерю прочности, устойчивости;</w:t>
      </w:r>
    </w:p>
    <w:p w:rsidR="00000000" w:rsidRDefault="00DD6A23"/>
    <w:p w:rsidR="00000000" w:rsidRDefault="00DD6A23">
      <w:pPr>
        <w:ind w:right="2069" w:firstLine="284"/>
      </w:pPr>
      <w:r>
        <w:t>при выявлении   на   одном  здании,  сооружении  трех  и  более однотипных нарушений,  влекущих   за   собой   снижение   прочности, устойчивос</w:t>
      </w:r>
      <w:r>
        <w:t>ти, надежности;,</w:t>
      </w:r>
    </w:p>
    <w:p w:rsidR="00000000" w:rsidRDefault="00DD6A23"/>
    <w:p w:rsidR="00000000" w:rsidRDefault="00DD6A23">
      <w:pPr>
        <w:ind w:right="2069" w:firstLine="284"/>
      </w:pPr>
      <w:r>
        <w:t>если в утвержденных проектах или утвержденной рабочей документации выявлены ошибки (в том числе отмеченные при экспертизе и не устраненные до утверждения проекта), которые повлекли или могли повлечь за собой потерю или снижение прочности,  устойчивости, надежности.</w:t>
      </w:r>
    </w:p>
    <w:p w:rsidR="00000000" w:rsidRDefault="00DD6A23"/>
    <w:p w:rsidR="00000000" w:rsidRDefault="00DD6A23">
      <w:pPr>
        <w:ind w:right="2069" w:firstLine="284"/>
      </w:pPr>
      <w:r>
        <w:t>В случае,  если  влияние  нарушений  на  техническое  состояние объекта определить    затруднительно,    должностное   лицо   органа Госархстройнадзора России  выдает   предписание   (без   составления протокола о  правонарушен</w:t>
      </w:r>
      <w:r>
        <w:t>ии  в  области  строительства),  в  котором определяет необходимые меры для решения этого  вопроса  -  получение заключения проектной    организации,    проведение    дополнительных лабораторных испытаний и т.д.</w:t>
      </w:r>
    </w:p>
    <w:p w:rsidR="00000000" w:rsidRDefault="00DD6A23"/>
    <w:p w:rsidR="00000000" w:rsidRDefault="00DD6A23">
      <w:pPr>
        <w:ind w:right="2069" w:firstLine="284"/>
      </w:pPr>
      <w:r>
        <w:t xml:space="preserve">6. Конкретный   размер   налагаемого   штрафа   за   нарушения, предусмотренные настоящими Рекомендациями,  устанавливается в ходе рассмотрения дела об административной ответственности за правонарушение в  области  строительства  в пределах,  установленных законом, исходя из  возможных последствий </w:t>
      </w:r>
      <w:r>
        <w:t>допущенных  нарушений  с учетом:</w:t>
      </w:r>
    </w:p>
    <w:p w:rsidR="00000000" w:rsidRDefault="00DD6A23"/>
    <w:p w:rsidR="00000000" w:rsidRDefault="00DD6A23">
      <w:pPr>
        <w:ind w:right="2069" w:firstLine="284"/>
      </w:pPr>
      <w:r>
        <w:t>- степени  ответственности  зданий  и  сооружений,  на  которых допущены нарушения (классификация объектов по классу ответственности приведена в приложении);</w:t>
      </w:r>
    </w:p>
    <w:p w:rsidR="00000000" w:rsidRDefault="00DD6A23"/>
    <w:p w:rsidR="00000000" w:rsidRDefault="00DD6A23">
      <w:pPr>
        <w:ind w:right="2069" w:firstLine="284"/>
      </w:pPr>
      <w:r>
        <w:t>- места  расположения  и  стадии строительства объекта,  имея в виду,  что нарушения, допущенные на более ранней стадии строительства, а также на объектах,  расположенных в густонаселенных районах, могут привести к более тяжелым последствиям;</w:t>
      </w:r>
    </w:p>
    <w:p w:rsidR="00000000" w:rsidRDefault="00DD6A23"/>
    <w:p w:rsidR="00000000" w:rsidRDefault="00DD6A23">
      <w:pPr>
        <w:ind w:right="2069" w:firstLine="284"/>
      </w:pPr>
      <w:r>
        <w:t>- вероятности    наступления    определенных   последствий   от допущенного</w:t>
      </w:r>
      <w:r>
        <w:t xml:space="preserve"> нарушения  (особые  условия  строительства,  вероятность неблагоприятного сочетания  различных видов нагрузок и воздействий и т.д.).</w:t>
      </w:r>
    </w:p>
    <w:p w:rsidR="00000000" w:rsidRDefault="00DD6A23"/>
    <w:p w:rsidR="00000000" w:rsidRDefault="00DD6A23">
      <w:pPr>
        <w:ind w:right="2069" w:firstLine="284"/>
      </w:pPr>
      <w:r>
        <w:t>При определении  конкретного   размера   штрафа   целесообразно учитывать также    уровень    качества   выполняемых   проектных   и строительно-монтажных работ (производимых строительных  материалов, конструкций и изделий) организацией,  допустившей правонарушение,  а также частоту совершения ею нарушений, подлежащих  административной ответственности.</w:t>
      </w:r>
    </w:p>
    <w:p w:rsidR="00000000" w:rsidRDefault="00DD6A23"/>
    <w:p w:rsidR="00000000" w:rsidRDefault="00DD6A23">
      <w:pPr>
        <w:ind w:right="2069" w:firstLine="284"/>
      </w:pPr>
      <w:r>
        <w:t>7. В зависимости от с</w:t>
      </w:r>
      <w:r>
        <w:t>тепени ответственности зданий и сооружений, на которых допущены нарушения, размер штрафа рекомендуется устанавливать в следующих пределах.</w:t>
      </w:r>
    </w:p>
    <w:p w:rsidR="00000000" w:rsidRDefault="00DD6A23"/>
    <w:p w:rsidR="00000000" w:rsidRDefault="00DD6A23">
      <w:pPr>
        <w:ind w:right="2069" w:firstLine="284"/>
      </w:pPr>
      <w:r>
        <w:t>При выявлении нарушений, влекущих потерю прочности, устойчивости:</w:t>
      </w:r>
    </w:p>
    <w:p w:rsidR="00000000" w:rsidRDefault="00DD6A23"/>
    <w:p w:rsidR="00000000" w:rsidRDefault="00DD6A23">
      <w:pPr>
        <w:ind w:firstLine="284"/>
      </w:pPr>
      <w:r>
        <w:t>по объектам I класса - 900 тыс. руб. - 1 млн. руб.</w:t>
      </w:r>
    </w:p>
    <w:p w:rsidR="00000000" w:rsidRDefault="00DD6A23">
      <w:pPr>
        <w:ind w:firstLine="284"/>
      </w:pPr>
      <w:r>
        <w:t>по объектам II класса  -  800 тыс. руб.  - 900 тыс. руб.</w:t>
      </w:r>
    </w:p>
    <w:p w:rsidR="00000000" w:rsidRDefault="00DD6A23">
      <w:pPr>
        <w:ind w:firstLine="284"/>
      </w:pPr>
      <w:r>
        <w:t>по объектам III класса - 750 тыс. руб. - 800 тыс. руб.</w:t>
      </w:r>
    </w:p>
    <w:p w:rsidR="00000000" w:rsidRDefault="00DD6A23"/>
    <w:p w:rsidR="00000000" w:rsidRDefault="00DD6A23">
      <w:pPr>
        <w:ind w:right="2069" w:firstLine="284"/>
      </w:pPr>
      <w:r>
        <w:t>При выявлении   нарушений,   влекущих    снижение    прочности, устойчивости:</w:t>
      </w:r>
    </w:p>
    <w:p w:rsidR="00000000" w:rsidRDefault="00DD6A23"/>
    <w:p w:rsidR="00000000" w:rsidRDefault="00DD6A23">
      <w:pPr>
        <w:ind w:firstLine="284"/>
      </w:pPr>
      <w:r>
        <w:t>по объектам I класса - 650 -  750  тыс. руб.</w:t>
      </w:r>
    </w:p>
    <w:p w:rsidR="00000000" w:rsidRDefault="00DD6A23">
      <w:pPr>
        <w:ind w:firstLine="284"/>
      </w:pPr>
      <w:r>
        <w:t>по объектам II кл</w:t>
      </w:r>
      <w:r>
        <w:t>асса - 550 - 650 тыс. руб.</w:t>
      </w:r>
    </w:p>
    <w:p w:rsidR="00000000" w:rsidRDefault="00DD6A23">
      <w:pPr>
        <w:ind w:firstLine="284"/>
      </w:pPr>
      <w:r>
        <w:t>по объектам III класса - 500 - 550 тыс. руб.</w:t>
      </w:r>
    </w:p>
    <w:p w:rsidR="00000000" w:rsidRDefault="00DD6A23"/>
    <w:p w:rsidR="00000000" w:rsidRDefault="00DD6A23">
      <w:pPr>
        <w:ind w:firstLine="284"/>
      </w:pPr>
      <w:r>
        <w:t>При выявлении нарушений, влекущих снижение надежности:</w:t>
      </w:r>
    </w:p>
    <w:p w:rsidR="00000000" w:rsidRDefault="00DD6A23"/>
    <w:p w:rsidR="00000000" w:rsidRDefault="00DD6A23">
      <w:pPr>
        <w:ind w:firstLine="284"/>
      </w:pPr>
      <w:r>
        <w:t>по объектам I класса - 400 - 500 тыс. руб.</w:t>
      </w:r>
    </w:p>
    <w:p w:rsidR="00000000" w:rsidRDefault="00DD6A23">
      <w:pPr>
        <w:ind w:firstLine="284"/>
      </w:pPr>
      <w:r>
        <w:t>по объектам II класса - 150 - 400 тыс. руб.</w:t>
      </w:r>
    </w:p>
    <w:p w:rsidR="00000000" w:rsidRDefault="00DD6A23">
      <w:pPr>
        <w:ind w:firstLine="284"/>
      </w:pPr>
      <w:r>
        <w:t>по объектам III класса - 50 - 150 тыс. руб.</w:t>
      </w:r>
    </w:p>
    <w:p w:rsidR="00000000" w:rsidRDefault="00DD6A23"/>
    <w:p w:rsidR="00000000" w:rsidRDefault="00DD6A23">
      <w:pPr>
        <w:ind w:right="2069" w:firstLine="284"/>
      </w:pPr>
      <w:r>
        <w:t>В случае проведения индексации, штрафы изменяются пропорционально выше указанным.</w:t>
      </w:r>
    </w:p>
    <w:p w:rsidR="00000000" w:rsidRDefault="00DD6A23"/>
    <w:p w:rsidR="00000000" w:rsidRDefault="00DD6A23">
      <w:pPr>
        <w:ind w:right="2069" w:firstLine="284"/>
      </w:pPr>
      <w:r>
        <w:t>8. Максимальный размер штрафа при выявлении нарушений, влекущих соответственно</w:t>
      </w:r>
    </w:p>
    <w:p w:rsidR="00000000" w:rsidRDefault="00DD6A23"/>
    <w:p w:rsidR="00000000" w:rsidRDefault="00DD6A23">
      <w:pPr>
        <w:ind w:firstLine="284"/>
      </w:pPr>
      <w:r>
        <w:t>потерю прочности, устойчивости - 1 млн. руб.</w:t>
      </w:r>
    </w:p>
    <w:p w:rsidR="00000000" w:rsidRDefault="00DD6A23">
      <w:pPr>
        <w:ind w:firstLine="284"/>
      </w:pPr>
      <w:r>
        <w:t>снижение прочности, устойчивости - 750 тыс.</w:t>
      </w:r>
      <w:r>
        <w:t xml:space="preserve"> руб.</w:t>
      </w:r>
    </w:p>
    <w:p w:rsidR="00000000" w:rsidRDefault="00DD6A23">
      <w:pPr>
        <w:ind w:firstLine="284"/>
      </w:pPr>
      <w:r>
        <w:t>снижение надежности - 500  тыс. руб.</w:t>
      </w:r>
    </w:p>
    <w:p w:rsidR="00000000" w:rsidRDefault="00DD6A23">
      <w:pPr>
        <w:ind w:firstLine="284"/>
      </w:pPr>
    </w:p>
    <w:p w:rsidR="00000000" w:rsidRDefault="00DD6A23">
      <w:pPr>
        <w:ind w:firstLine="284"/>
      </w:pPr>
      <w:r>
        <w:t>рекомендуется устанавливать в следующих случаях:</w:t>
      </w:r>
    </w:p>
    <w:p w:rsidR="00000000" w:rsidRDefault="00DD6A23"/>
    <w:p w:rsidR="00000000" w:rsidRDefault="00DD6A23">
      <w:pPr>
        <w:ind w:right="2069" w:firstLine="284"/>
      </w:pPr>
      <w:r>
        <w:t>при строительстве объекта (объекты I и II классов) в районах  с особыми условиями  строительства  (сейсмичность  8  баллов  и  выше, просадочные, вечномерзлые, пучнистые, засоленные грунты и т.п.);</w:t>
      </w:r>
    </w:p>
    <w:p w:rsidR="00000000" w:rsidRDefault="00DD6A23"/>
    <w:p w:rsidR="00000000" w:rsidRDefault="00DD6A23">
      <w:pPr>
        <w:ind w:right="2069" w:firstLine="284"/>
      </w:pPr>
      <w:r>
        <w:t>при выявлении нарушений на объектах, связанных с повышенной потенциальной опасностью для населения и окружающей среды;</w:t>
      </w:r>
    </w:p>
    <w:p w:rsidR="00000000" w:rsidRDefault="00DD6A23"/>
    <w:p w:rsidR="00000000" w:rsidRDefault="00DD6A23">
      <w:pPr>
        <w:ind w:right="2069" w:firstLine="284"/>
      </w:pPr>
      <w:r>
        <w:t>при нарушении зимних условий производства работ по объектам I и II классов.</w:t>
      </w:r>
    </w:p>
    <w:p w:rsidR="00000000" w:rsidRDefault="00DD6A23"/>
    <w:p w:rsidR="00000000" w:rsidRDefault="00DD6A23">
      <w:pPr>
        <w:ind w:right="2069" w:firstLine="284"/>
      </w:pPr>
      <w:r>
        <w:t>9. Максимальный размер</w:t>
      </w:r>
      <w:r>
        <w:t xml:space="preserve"> штрафа за неисполнение или ненадлежащее исполнение предписания, выданного должностным лицом Госархстройнадзора России (250 тыс.руб.), устанавливается в следующих случаях:</w:t>
      </w:r>
    </w:p>
    <w:p w:rsidR="00000000" w:rsidRDefault="00DD6A23"/>
    <w:p w:rsidR="00000000" w:rsidRDefault="00DD6A23">
      <w:pPr>
        <w:ind w:right="2069" w:firstLine="284"/>
      </w:pPr>
      <w:r>
        <w:t>- неисполнение   предписания  о   приостановлении  проектных  и строительно-монтажных работ,   а  также  приостановление  выпуска строительных материалов, конструкций и изделий;</w:t>
      </w:r>
    </w:p>
    <w:p w:rsidR="00000000" w:rsidRDefault="00DD6A23"/>
    <w:p w:rsidR="00000000" w:rsidRDefault="00DD6A23">
      <w:pPr>
        <w:ind w:right="2069" w:firstLine="284"/>
      </w:pPr>
      <w:r>
        <w:t>- неисполнение предписания об оформлении технической и исполнительной документации, подтверждающей качество выполненных работ (геодезические  исполнительные схе</w:t>
      </w:r>
      <w:r>
        <w:t>мы, акты  на скрытые работы, данные лабораторных испытаний и т.д.);</w:t>
      </w:r>
    </w:p>
    <w:p w:rsidR="00000000" w:rsidRDefault="00DD6A23"/>
    <w:p w:rsidR="00000000" w:rsidRDefault="00DD6A23">
      <w:pPr>
        <w:ind w:right="2069" w:firstLine="284"/>
      </w:pPr>
      <w:r>
        <w:t>- неисполнение предписаний об устранении допущенных нарушений, связанных с возможностью потери или снижения прочности, устойчивости, надежности;</w:t>
      </w:r>
    </w:p>
    <w:p w:rsidR="00000000" w:rsidRDefault="00DD6A23"/>
    <w:p w:rsidR="00000000" w:rsidRDefault="00DD6A23">
      <w:pPr>
        <w:ind w:right="2069" w:firstLine="284"/>
      </w:pPr>
      <w:r>
        <w:t>- неисполнение  предписаний об  устранении допущенных  нарушений организационно-правового порядка строительства, за которые законом  предусмотрена административная ответственность (получение в установленный срок разрешения  на  выполнение СМР, лицензии и т.д.)</w:t>
      </w:r>
    </w:p>
    <w:p w:rsidR="00000000" w:rsidRDefault="00DD6A23"/>
    <w:p w:rsidR="00000000" w:rsidRDefault="00DD6A23">
      <w:pPr>
        <w:ind w:right="2069" w:firstLine="284"/>
      </w:pPr>
      <w:r>
        <w:t>Окончательное решение по размерам ш</w:t>
      </w:r>
      <w:r>
        <w:t>трафов с учетом конкретных обстоятельств дела во  всех  случаях   принимает  должностное   лицо соответствующего органа Госархстройнадзора России,  рассматривающее дело об административной ответственности за  правонарушения   в области строительства    или   жалобу    организации,   предприятия, решение о наложении штрафа.</w:t>
      </w:r>
    </w:p>
    <w:p w:rsidR="00000000" w:rsidRDefault="00DD6A23"/>
    <w:p w:rsidR="00000000" w:rsidRDefault="00DD6A23"/>
    <w:p w:rsidR="00000000" w:rsidRDefault="00DD6A23">
      <w:pPr>
        <w:ind w:firstLine="2835"/>
      </w:pPr>
      <w:r>
        <w:t>ПРИЛОЖЕНИЕ</w:t>
      </w:r>
    </w:p>
    <w:p w:rsidR="00000000" w:rsidRDefault="00DD6A23">
      <w:pPr>
        <w:ind w:firstLine="2835"/>
      </w:pPr>
      <w:r>
        <w:t>к Рекомендациям по установлению</w:t>
      </w:r>
    </w:p>
    <w:p w:rsidR="00000000" w:rsidRDefault="00DD6A23">
      <w:pPr>
        <w:ind w:firstLine="2835"/>
      </w:pPr>
      <w:r>
        <w:t>конкретных  размеров штрафов за</w:t>
      </w:r>
    </w:p>
    <w:p w:rsidR="00000000" w:rsidRDefault="00DD6A23">
      <w:pPr>
        <w:ind w:firstLine="2835"/>
      </w:pPr>
      <w:r>
        <w:t>правонарушения    в     области</w:t>
      </w:r>
    </w:p>
    <w:p w:rsidR="00000000" w:rsidRDefault="00DD6A23">
      <w:pPr>
        <w:ind w:firstLine="2835"/>
      </w:pPr>
      <w:r>
        <w:t>строительства</w:t>
      </w:r>
    </w:p>
    <w:p w:rsidR="00000000" w:rsidRDefault="00DD6A23"/>
    <w:p w:rsidR="00000000" w:rsidRDefault="00DD6A23"/>
    <w:p w:rsidR="00000000" w:rsidRDefault="00DD6A23"/>
    <w:p w:rsidR="00000000" w:rsidRDefault="00DD6A23">
      <w:pPr>
        <w:ind w:right="2069" w:firstLine="284"/>
        <w:jc w:val="center"/>
      </w:pPr>
      <w:r>
        <w:t>КЛАССИФИКАЦИЯ ОБЪЕКТОВ ПО СТЕПЕНИ ОТВЕТСТВЕННОСТИ</w:t>
      </w:r>
    </w:p>
    <w:p w:rsidR="00000000" w:rsidRDefault="00DD6A2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7" w:firstRow="0" w:lastRow="0" w:firstColumn="0" w:lastColumn="0" w:noHBand="0" w:noVBand="0"/>
      </w:tblPr>
      <w:tblGrid>
        <w:gridCol w:w="2155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DD6A23">
            <w:r>
              <w:t>Степень от</w:t>
            </w:r>
            <w:r>
              <w:t>ветственности</w:t>
            </w:r>
          </w:p>
          <w:p w:rsidR="00000000" w:rsidRDefault="00DD6A23">
            <w:r>
              <w:t>сооружения</w:t>
            </w:r>
          </w:p>
        </w:tc>
        <w:tc>
          <w:tcPr>
            <w:tcW w:w="4110" w:type="dxa"/>
          </w:tcPr>
          <w:p w:rsidR="00000000" w:rsidRDefault="00DD6A23">
            <w:r>
              <w:t>Наименование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DD6A23"/>
        </w:tc>
        <w:tc>
          <w:tcPr>
            <w:tcW w:w="4110" w:type="dxa"/>
          </w:tcPr>
          <w:p w:rsidR="00000000" w:rsidRDefault="00DD6A23">
            <w:r>
              <w:t>Основные здания   и   сооружения  ГЭС, ГРЭС, ТЭЦ,   ТЭС,   АЭС,   доменные    печи, телевизионные башни,     мосты,     тоннели, магистральные газопроводы    при     рабочем</w:t>
            </w:r>
          </w:p>
          <w:p w:rsidR="00000000" w:rsidRDefault="00DD6A23">
            <w:r>
              <w:t>давлении свыше    2,5   МПА,   магистральные</w:t>
            </w:r>
          </w:p>
          <w:p w:rsidR="00000000" w:rsidRDefault="00DD6A23">
            <w:r>
              <w:t>нефтепроводы и продуктопроводы при  условном диаметре трубы свыше 1000 мм, резервуары для нефти и  нефтепродуктов  емкостью  более  10 тыс. куб.  м,  объекты метростроения, крытые спортивные сооружения  с  трибунами,  здания театров,</w:t>
            </w:r>
            <w:r>
              <w:t xml:space="preserve"> кинотеатров, цирков, крытых рынков, учебных заведений,    детских     дошкольных учреждений, больниц,     родильных    домов,</w:t>
            </w:r>
          </w:p>
          <w:p w:rsidR="00000000" w:rsidRDefault="00DD6A23">
            <w:r>
              <w:t>музеев, государственных архивов и т.п.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DD6A23"/>
        </w:tc>
        <w:tc>
          <w:tcPr>
            <w:tcW w:w="4110" w:type="dxa"/>
          </w:tcPr>
          <w:p w:rsidR="00000000" w:rsidRDefault="00DD6A23">
            <w:r>
              <w:t>Здания и   сооружения    промышленного</w:t>
            </w:r>
          </w:p>
          <w:p w:rsidR="00000000" w:rsidRDefault="00DD6A23">
            <w:r>
              <w:t>назначения, сельского   хозяйства,  железные</w:t>
            </w:r>
          </w:p>
          <w:p w:rsidR="00000000" w:rsidRDefault="00DD6A23">
            <w:r>
              <w:t>дороги, автомагистрали   и   дороги    I-III</w:t>
            </w:r>
          </w:p>
          <w:p w:rsidR="00000000" w:rsidRDefault="00DD6A23">
            <w:r>
              <w:t>категорий, магистральные   газопроводы   при</w:t>
            </w:r>
          </w:p>
          <w:p w:rsidR="00000000" w:rsidRDefault="00DD6A23">
            <w:r>
              <w:t>рабочем давлении до  2,5  МПа  включительно,</w:t>
            </w:r>
          </w:p>
          <w:p w:rsidR="00000000" w:rsidRDefault="00DD6A23">
            <w:r>
              <w:t>магистральные нефтепроводы и продуктопроводы при условном диаметре трубы 1000 мм и менее, жилые здания,  гостиницы  и админис</w:t>
            </w:r>
            <w:r>
              <w:t>тративные здания, здания   научных    учреждений,    и учреждений отдыха,    предприятий   бытового обслуживания, коммунальные,     здания     и сооружения предприятий    связи   и   другие объекты, не вошедшие в I и III классы.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DD6A23"/>
        </w:tc>
        <w:tc>
          <w:tcPr>
            <w:tcW w:w="4110" w:type="dxa"/>
          </w:tcPr>
          <w:p w:rsidR="00000000" w:rsidRDefault="00DD6A23">
            <w:r>
              <w:t>Склады без процессов сортировки   и упаковки для хранения сельскохозяйственных продуктов, удобрений, химикатов, угля, торфаи других подобных видов продукции,  теплицы, парники, одноэтажные   жилые   дома,   опоры проводной связи, опоры освещения населенных пунктов, ограды, временн</w:t>
            </w:r>
            <w:r>
              <w:t>ые здания и сооружения и т.п. объекты.</w:t>
            </w:r>
          </w:p>
        </w:tc>
      </w:tr>
    </w:tbl>
    <w:p w:rsidR="00000000" w:rsidRDefault="00DD6A23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A23"/>
    <w:rsid w:val="00D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1878</Words>
  <Characters>10707</Characters>
  <Application>Microsoft Office Word</Application>
  <DocSecurity>0</DocSecurity>
  <Lines>89</Lines>
  <Paragraphs>25</Paragraphs>
  <ScaleCrop>false</ScaleCrop>
  <Company>Elcom Ltd</Company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</dc:title>
  <dc:subject/>
  <dc:creator>Alexandre Katalov</dc:creator>
  <cp:keywords/>
  <dc:description/>
  <cp:lastModifiedBy>Parhomeiai</cp:lastModifiedBy>
  <cp:revision>2</cp:revision>
  <dcterms:created xsi:type="dcterms:W3CDTF">2013-04-11T11:44:00Z</dcterms:created>
  <dcterms:modified xsi:type="dcterms:W3CDTF">2013-04-11T11:44:00Z</dcterms:modified>
</cp:coreProperties>
</file>