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38B0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МИНИСТЕРСТВО СТРОИТЕЛЬСТВА РОССИЙСКОЙ ФЕДЕРАЦИИ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ИНСТРУКТИВНОЕ ПИСЬМО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 22.05.92 N 12-6/254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 порядке определения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экономического эффекта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 внедрения мероприятий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подрядчика, удешевляющих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строительство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связи с поступающими  запросами  Минстрой  России  разъясняет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порядок  исчисления  в  условиях  рыночных  отношений экономического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эффекта от мероприятий (в том числе рационализаторских  предложений)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подрядчика,     удешевляющих     выполнение    строительно-монтажных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(подрядных) работ по сравнению с  решением,  учтенными  в  проектной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  и  принятыми  за  основу  при  формировании  свободных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(договорных) цен на строительную продукцию.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исчислении    указанного    </w:t>
      </w:r>
      <w:r>
        <w:rPr>
          <w:rFonts w:ascii="Courier New" w:hAnsi="Courier New"/>
          <w:sz w:val="18"/>
        </w:rPr>
        <w:t>эффекта    сметная    стоимость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 в  текущем  уровне  цен  (т.е.  с учетом дополнительных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подрядчика,  вызванных   рыночными   отношениями,   как   это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предусмотрено письмом  Госкомархстроя  РСФСР от 23.09.91 N Ц-60/12 и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Российской Федерации от 17.01.92 N  БФ-39/12).  При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необходимости эта  стоимость сопоставляется с базисным уровнем (т.е.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сметных ценах по  состоянию  на  01.01.91)  согласно  прилагаемому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примеру.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Заместитель Министра                        А.А.Ба</w:t>
      </w:r>
      <w:r>
        <w:rPr>
          <w:rFonts w:ascii="Courier New" w:hAnsi="Courier New"/>
          <w:sz w:val="18"/>
        </w:rPr>
        <w:t>бенко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к письму Минстроя России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от 22.05.92 N 12-6/254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ПРИМЕР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расчета экономического эффекта от внедрения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мероприятия подрядчика, удешевляющего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выполнение строительно-монтажных работ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 объекте реконструкции коллектора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по проспекту Ворошиловскому в г</w:t>
      </w:r>
      <w:r>
        <w:rPr>
          <w:rFonts w:ascii="Courier New" w:hAnsi="Courier New"/>
          <w:sz w:val="18"/>
        </w:rPr>
        <w:t>.Ростов-на-Дону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-------------------------T-------------------------------------¬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¦Наименование работ      ¦Сметная стоимость (в тыс.руб.)      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             +---------------T-----------T---------+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             ¦по утвержденной¦по согласо-¦разница 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             ¦проектной      ¦ванному    ¦(эконом.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             ¦документации   ¦мероприятию¦эффект) 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             ¦               ¦подрядчика ¦        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+------------------------+---------------+-----------+---------+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      1            ¦       2       ¦     3     ¦    4    ¦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L------------------------+---------------+-----------+----------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Земляные работы           386,0            348,0      38,0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Инвентарные трубно-       128,0             55,6      72,4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распорные крепления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Трубопроводы и колодцы    102,0             81,0      21,0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Дорожные работы и          52,1             48,6       3,5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благоустройство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---------------------------------------------------------------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в базисном уровне      668,1            533,2     134,9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сметной стоимости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Дополнительные затраты      5049,1           4030,0    1019,1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подрядчика, вызванные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рыночными отношениями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(определяются отдельными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расчетами)х)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---------------------------------------------------------------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Всего в текущем уровне: х)  5717,2           4563,2    1154,0</w:t>
      </w:r>
    </w:p>
    <w:p w:rsidR="00000000" w:rsidRDefault="00D138B0">
      <w:pPr>
        <w:rPr>
          <w:rFonts w:ascii="Courier New" w:hAnsi="Courier New"/>
          <w:sz w:val="18"/>
        </w:rPr>
      </w:pP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Экономический эффект в т</w:t>
      </w:r>
      <w:r>
        <w:rPr>
          <w:rFonts w:ascii="Courier New" w:hAnsi="Courier New"/>
          <w:sz w:val="18"/>
        </w:rPr>
        <w:t>екущем уровне цен составляет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1154,0 тыс.рублей (134,9 + 1019,1 = 1154,0)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х) В том случае,  если переход от базисного уровня  к  текущему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уровню   сметной   стоимости  осуществляется  не  путем  определения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дополнительных затрат подрядчика с  помощью  отдельных  расчетов,  а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путем  применения  индекса (коэффициента) к базисному уровню сметной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стоимости,  экономический эффект определяется путем умножения  этого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эффекта  на  указанный  индекс.  Для  указанного выше примера индекс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раве</w:t>
      </w:r>
      <w:r>
        <w:rPr>
          <w:rFonts w:ascii="Courier New" w:hAnsi="Courier New"/>
          <w:sz w:val="18"/>
        </w:rPr>
        <w:t>н 8,56.  (Индекс изменения стоимости 5717,2 : 668,1 или 4563,2 :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593,2).  Следовательно экономический эффект составляет: 134,9 х 8,56</w:t>
      </w:r>
    </w:p>
    <w:p w:rsidR="00000000" w:rsidRDefault="00D138B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= 1154,0 тыс.рублей.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8B0"/>
    <w:rsid w:val="00D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Elcom Ltd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МИНИСТЕРСТВО СТРОИТЕЛЬСТВА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