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0758">
      <w:pPr>
        <w:jc w:val="center"/>
      </w:pPr>
      <w:bookmarkStart w:id="0" w:name="BITSoft"/>
      <w:bookmarkStart w:id="1" w:name="_GoBack"/>
      <w:bookmarkEnd w:id="0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AB0758">
      <w:pPr>
        <w:pBdr>
          <w:bottom w:val="single" w:sz="6" w:space="1" w:color="auto"/>
        </w:pBdr>
        <w:jc w:val="center"/>
      </w:pPr>
      <w:r>
        <w:t>ГОСУДАРСТВЕННЫЙ СТАНДАРТ СОЮЗА ССР</w:t>
      </w:r>
    </w:p>
    <w:p w:rsidR="00000000" w:rsidRDefault="00AB0758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КАМЕНЬ ГИПСОВЫЙ И ГИПСОАНГИДРИТОВЫЙ ДЛЯ ПРОИЗВОДСТВА ВЯЖУЩИХ МАТЕРИАЛОВ</w:t>
      </w:r>
    </w:p>
    <w:p w:rsidR="00000000" w:rsidRDefault="00AB0758">
      <w:pPr>
        <w:spacing w:before="120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AB0758">
      <w:pPr>
        <w:spacing w:before="120"/>
        <w:jc w:val="center"/>
        <w:rPr>
          <w:b/>
        </w:rPr>
      </w:pPr>
      <w:r>
        <w:rPr>
          <w:b/>
        </w:rPr>
        <w:t>ГОСТ 4013-82</w:t>
      </w:r>
    </w:p>
    <w:p w:rsidR="00000000" w:rsidRDefault="00AB0758">
      <w:pPr>
        <w:spacing w:before="120"/>
        <w:jc w:val="center"/>
        <w:rPr>
          <w:b/>
        </w:rPr>
      </w:pPr>
    </w:p>
    <w:p w:rsidR="00000000" w:rsidRDefault="00AB0758">
      <w:pPr>
        <w:jc w:val="center"/>
      </w:pPr>
      <w:r>
        <w:t>ГОСУДАРСТВЕННЫЙ СТРОИТЕЛЬНЫЙ КОМИТЕТ СССР</w:t>
      </w:r>
    </w:p>
    <w:p w:rsidR="00000000" w:rsidRDefault="00AB0758">
      <w:pPr>
        <w:jc w:val="center"/>
      </w:pPr>
      <w:r>
        <w:t>Москва</w:t>
      </w:r>
    </w:p>
    <w:p w:rsidR="00000000" w:rsidRDefault="00AB0758">
      <w:pPr>
        <w:jc w:val="center"/>
      </w:pPr>
    </w:p>
    <w:p w:rsidR="00000000" w:rsidRDefault="00AB0758">
      <w:pPr>
        <w:pBdr>
          <w:bottom w:val="single" w:sz="6" w:space="1" w:color="auto"/>
        </w:pBdr>
        <w:jc w:val="center"/>
      </w:pPr>
      <w:r>
        <w:t>ГОСУДАРСТВЕННЫЙ СТАНДАРТ СОЮЗА ССР</w:t>
      </w:r>
    </w:p>
    <w:p w:rsidR="00000000" w:rsidRDefault="00AB0758">
      <w:pPr>
        <w:jc w:val="both"/>
        <w:rPr>
          <w:b/>
        </w:rPr>
      </w:pPr>
      <w:r>
        <w:rPr>
          <w:b/>
        </w:rPr>
        <w:t>КАМЕНЬ ГИПСОВЫЙ И ГИПСОАНГИД</w:t>
      </w:r>
      <w:r>
        <w:rPr>
          <w:b/>
        </w:rPr>
        <w:t>РИТОВЫЙ</w:t>
      </w:r>
    </w:p>
    <w:p w:rsidR="00000000" w:rsidRDefault="00AB0758">
      <w:pPr>
        <w:tabs>
          <w:tab w:val="left" w:pos="5387"/>
        </w:tabs>
        <w:jc w:val="both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ДЛЯ ПРОИЗВОДСТВА ВЯЖУЩИХ МАТЕРИАЛОВ</w:t>
      </w:r>
      <w:r>
        <w:rPr>
          <w:b/>
        </w:rPr>
        <w:tab/>
        <w:t>ГОСТ</w:t>
      </w:r>
    </w:p>
    <w:p w:rsidR="00000000" w:rsidRDefault="00AB0758">
      <w:pPr>
        <w:tabs>
          <w:tab w:val="left" w:pos="5245"/>
        </w:tabs>
        <w:ind w:firstLine="1418"/>
        <w:jc w:val="both"/>
        <w:rPr>
          <w:b/>
        </w:rPr>
      </w:pPr>
      <w:r>
        <w:rPr>
          <w:b/>
        </w:rPr>
        <w:t>Технические условия</w:t>
      </w:r>
      <w:r>
        <w:rPr>
          <w:b/>
        </w:rPr>
        <w:tab/>
        <w:t xml:space="preserve">  4013-82</w:t>
      </w:r>
    </w:p>
    <w:p w:rsidR="00000000" w:rsidRDefault="00AB0758">
      <w:pPr>
        <w:jc w:val="both"/>
        <w:rPr>
          <w:lang w:val="en-US"/>
        </w:rPr>
      </w:pPr>
      <w:r>
        <w:rPr>
          <w:lang w:val="en-US"/>
        </w:rPr>
        <w:t>Gypsum and gypsum-anhydrite rock for the manufacture</w:t>
      </w:r>
    </w:p>
    <w:p w:rsidR="00000000" w:rsidRDefault="00AB0758">
      <w:pPr>
        <w:tabs>
          <w:tab w:val="left" w:pos="5245"/>
        </w:tabs>
        <w:ind w:firstLine="1843"/>
        <w:jc w:val="both"/>
        <w:rPr>
          <w:lang w:val="en-US"/>
        </w:rPr>
      </w:pPr>
      <w:r>
        <w:rPr>
          <w:lang w:val="en-US"/>
        </w:rPr>
        <w:t>of binders.</w:t>
      </w:r>
      <w:r>
        <w:tab/>
        <w:t>Взамен</w:t>
      </w:r>
    </w:p>
    <w:p w:rsidR="00000000" w:rsidRDefault="00AB0758">
      <w:pPr>
        <w:pBdr>
          <w:bottom w:val="single" w:sz="6" w:space="1" w:color="auto"/>
        </w:pBdr>
        <w:tabs>
          <w:tab w:val="left" w:pos="4962"/>
        </w:tabs>
        <w:ind w:firstLine="1701"/>
        <w:jc w:val="both"/>
        <w:rPr>
          <w:lang w:val="en-US"/>
        </w:rPr>
      </w:pPr>
      <w:r>
        <w:rPr>
          <w:lang w:val="en-US"/>
        </w:rPr>
        <w:t>Specifications</w:t>
      </w:r>
      <w:r>
        <w:tab/>
        <w:t>ГОСТ 4013-74</w:t>
      </w:r>
    </w:p>
    <w:p w:rsidR="00000000" w:rsidRDefault="00AB0758">
      <w:pPr>
        <w:jc w:val="both"/>
        <w:rPr>
          <w:b/>
        </w:rPr>
      </w:pPr>
      <w:r>
        <w:rPr>
          <w:b/>
        </w:rPr>
        <w:t>Постановлением Государственного комитета СССР по делам строительства от 27 сентября 1982 г. № 220 срок введения установлен</w:t>
      </w:r>
    </w:p>
    <w:p w:rsidR="00000000" w:rsidRDefault="00AB0758">
      <w:pPr>
        <w:ind w:firstLine="284"/>
        <w:jc w:val="right"/>
        <w:rPr>
          <w:b/>
          <w:u w:val="single"/>
        </w:rPr>
      </w:pPr>
      <w:r>
        <w:rPr>
          <w:b/>
          <w:u w:val="single"/>
        </w:rPr>
        <w:t>с 01.07.83</w:t>
      </w:r>
    </w:p>
    <w:p w:rsidR="00000000" w:rsidRDefault="00AB0758">
      <w:pPr>
        <w:spacing w:before="120" w:after="120"/>
        <w:ind w:firstLine="284"/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AB0758">
      <w:pPr>
        <w:ind w:firstLine="284"/>
        <w:jc w:val="both"/>
      </w:pPr>
      <w:r>
        <w:t>Настоящий стандарт распространяется на гипсовый и гипсо</w:t>
      </w:r>
      <w:r>
        <w:softHyphen/>
        <w:t>ангидритовый камень, являющийся продуктом измельчения горной породы, состоящей из природных мине</w:t>
      </w:r>
      <w:r>
        <w:t>ралов гипса или смеси гип</w:t>
      </w:r>
      <w:r>
        <w:softHyphen/>
        <w:t>са и ангидрита, и применяемый в качестве сырья для производства гипсовых вяжущих и добавок для производства цемента.</w:t>
      </w:r>
    </w:p>
    <w:p w:rsidR="00000000" w:rsidRDefault="00AB0758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1.ТЕХНИЧЕСКИЕ ТРЕБОВАНИЯ</w:t>
      </w:r>
    </w:p>
    <w:p w:rsidR="00000000" w:rsidRDefault="00AB0758">
      <w:pPr>
        <w:ind w:firstLine="284"/>
        <w:jc w:val="both"/>
      </w:pPr>
      <w:r>
        <w:t>1.1. Гипсовый и гипсоангидритовый камень, используемый для производства вяжущих материалов, должен соответствовать тре</w:t>
      </w:r>
      <w:r>
        <w:softHyphen/>
        <w:t>бова</w:t>
      </w:r>
      <w:r>
        <w:softHyphen/>
        <w:t>ниям настоящего стандарта. Добыча и переработка камня производится по технологическому регламенту, утвержденному в установленном порядке.</w:t>
      </w:r>
    </w:p>
    <w:p w:rsidR="00000000" w:rsidRDefault="00AB0758">
      <w:pPr>
        <w:ind w:firstLine="284"/>
        <w:jc w:val="both"/>
      </w:pPr>
      <w:r>
        <w:t>1.2. Гипсовый камень по содержанию гипса и гипсоангидрито</w:t>
      </w:r>
      <w:r>
        <w:softHyphen/>
        <w:t>вый камень по суммарному</w:t>
      </w:r>
      <w:r>
        <w:t xml:space="preserve"> содержанию гипса и ангидрита в пе</w:t>
      </w:r>
      <w:r>
        <w:softHyphen/>
        <w:t>ресчете на гипс подразделяют на сорта, указанные в таблице.</w:t>
      </w:r>
    </w:p>
    <w:p w:rsidR="00000000" w:rsidRDefault="00AB0758">
      <w:pPr>
        <w:ind w:firstLine="284"/>
        <w:jc w:val="both"/>
      </w:pPr>
      <w:r>
        <w:t>Содержание гипса в гипсовом камне определяют по кристал</w:t>
      </w:r>
      <w:r>
        <w:softHyphen/>
        <w:t>лиза</w:t>
      </w:r>
      <w:r>
        <w:softHyphen/>
        <w:t>ционной воде, а в гипсоангидритовом камне — по серному ангидриту (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>).</w:t>
      </w:r>
    </w:p>
    <w:p w:rsidR="00000000" w:rsidRDefault="00AB0758">
      <w:pPr>
        <w:ind w:firstLine="284"/>
        <w:jc w:val="both"/>
      </w:pPr>
      <w:r>
        <w:t>1.3. Для производства гипсовых вяжущих должны поставлять только гипсовый камень, а для производства цемента — гипсовый и гипсоанги</w:t>
      </w:r>
      <w:r>
        <w:rPr>
          <w:lang w:val="en-US"/>
        </w:rPr>
        <w:softHyphen/>
      </w:r>
      <w:r>
        <w:t>дри</w:t>
      </w:r>
      <w:r>
        <w:rPr>
          <w:lang w:val="en-US"/>
        </w:rPr>
        <w:softHyphen/>
      </w:r>
      <w:r>
        <w:t>товый камень. В гипсоангидритовом камне должно быть не менее 30% гипса</w:t>
      </w:r>
      <w:r>
        <w:rPr>
          <w:lang w:val="en-US"/>
        </w:rPr>
        <w:t xml:space="preserve"> (CaSO</w:t>
      </w:r>
      <w:r>
        <w:rPr>
          <w:vertAlign w:val="subscript"/>
          <w:lang w:val="en-US"/>
        </w:rPr>
        <w:t>4</w:t>
      </w:r>
      <w:r>
        <w:rPr>
          <w:lang w:val="en-US"/>
        </w:rPr>
        <w:sym w:font="Times New Roman" w:char="00B7"/>
      </w:r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>
        <w:rPr>
          <w:lang w:val="en-US"/>
        </w:rPr>
        <w:t>O).</w:t>
      </w:r>
    </w:p>
    <w:p w:rsidR="00000000" w:rsidRDefault="00AB0758">
      <w:pPr>
        <w:spacing w:after="120"/>
        <w:ind w:firstLine="284"/>
        <w:jc w:val="both"/>
      </w:pPr>
      <w:r>
        <w:t>Для производства гипсовых вяжущих, применяемых в фарфоро-фаянсов</w:t>
      </w:r>
      <w:r>
        <w:t>ой, керамической и медицинской промышленности, а также белого, декоративного и гипсоглиноземистого расширяюще</w:t>
      </w:r>
      <w:r>
        <w:softHyphen/>
        <w:t>гося цемента должны поставлять только гипсовый камень 1-го сорта.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1559"/>
        <w:gridCol w:w="1810"/>
        <w:gridCol w:w="11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Содержание в гипсовом камне, %, не менее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Содержание в гипсоангидритовом камне, %, 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Сорт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гипса</w:t>
            </w:r>
            <w:r>
              <w:rPr>
                <w:sz w:val="16"/>
                <w:lang w:val="en-US"/>
              </w:rPr>
              <w:t xml:space="preserve"> (CaSO</w:t>
            </w:r>
            <w:r>
              <w:rPr>
                <w:sz w:val="16"/>
                <w:vertAlign w:val="subscript"/>
              </w:rPr>
              <w:t>4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  <w:lang w:val="en-US"/>
              </w:rPr>
              <w:t>2H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кристаллизацион</w:t>
            </w:r>
            <w:r>
              <w:rPr>
                <w:sz w:val="16"/>
              </w:rPr>
              <w:softHyphen/>
              <w:t>ной воды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гипса и ангидрита в пересчете на</w:t>
            </w:r>
            <w:r>
              <w:rPr>
                <w:sz w:val="16"/>
                <w:lang w:val="en-US"/>
              </w:rPr>
              <w:t xml:space="preserve"> CaSO</w:t>
            </w:r>
            <w:r>
              <w:rPr>
                <w:sz w:val="16"/>
                <w:vertAlign w:val="subscript"/>
              </w:rPr>
              <w:t>4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  <w:lang w:val="en-US"/>
              </w:rPr>
              <w:t>2H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AB0758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серного ангид</w:t>
            </w:r>
            <w:r>
              <w:rPr>
                <w:sz w:val="16"/>
              </w:rPr>
              <w:softHyphen/>
              <w:t>рита</w:t>
            </w:r>
            <w:r>
              <w:rPr>
                <w:sz w:val="16"/>
                <w:lang w:val="en-US"/>
              </w:rPr>
              <w:t xml:space="preserve"> (SO</w:t>
            </w:r>
            <w:r>
              <w:rPr>
                <w:sz w:val="16"/>
                <w:vertAlign w:val="subscript"/>
              </w:rPr>
              <w:t>3</w:t>
            </w:r>
            <w:r>
              <w:rPr>
                <w:sz w:val="16"/>
                <w:lang w:val="en-US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19,88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44,18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18,83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16,74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000000" w:rsidRDefault="00AB075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14,64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000000" w:rsidRDefault="00AB0758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—</w:t>
            </w:r>
          </w:p>
        </w:tc>
      </w:tr>
    </w:tbl>
    <w:p w:rsidR="00000000" w:rsidRDefault="00AB0758"/>
    <w:p w:rsidR="00000000" w:rsidRDefault="00AB0758">
      <w:pPr>
        <w:ind w:left="40" w:firstLine="340"/>
        <w:jc w:val="both"/>
      </w:pPr>
      <w:r>
        <w:t>1.4. Гипсовый и гипсоангидритовый камень при</w:t>
      </w:r>
      <w:r>
        <w:t>меняют в зависимости от размера фракции:</w:t>
      </w:r>
    </w:p>
    <w:p w:rsidR="00000000" w:rsidRDefault="00AB0758">
      <w:pPr>
        <w:tabs>
          <w:tab w:val="left" w:pos="567"/>
        </w:tabs>
        <w:ind w:left="40" w:firstLine="340"/>
        <w:jc w:val="both"/>
      </w:pPr>
      <w:r>
        <w:tab/>
        <w:t>60 — 300 мм</w:t>
      </w:r>
      <w:r>
        <w:rPr>
          <w:b/>
        </w:rPr>
        <w:t xml:space="preserve"> —</w:t>
      </w:r>
      <w:r>
        <w:t xml:space="preserve"> гипсовый камень для производства гипсовых вяжу</w:t>
      </w:r>
      <w:r>
        <w:softHyphen/>
        <w:t>щих;</w:t>
      </w:r>
    </w:p>
    <w:p w:rsidR="00000000" w:rsidRDefault="00AB0758">
      <w:pPr>
        <w:tabs>
          <w:tab w:val="left" w:pos="567"/>
        </w:tabs>
        <w:ind w:left="40" w:firstLine="340"/>
        <w:jc w:val="both"/>
      </w:pPr>
      <w:r>
        <w:tab/>
        <w:t>0 — 60 мм  — гипсоангидритовый и гипсовый камень для производства цемента.</w:t>
      </w:r>
    </w:p>
    <w:p w:rsidR="00000000" w:rsidRDefault="00AB0758">
      <w:pPr>
        <w:spacing w:before="120" w:after="120"/>
        <w:ind w:firstLine="284"/>
        <w:jc w:val="both"/>
        <w:rPr>
          <w:sz w:val="16"/>
        </w:rPr>
      </w:pPr>
      <w:r>
        <w:rPr>
          <w:spacing w:val="20"/>
          <w:sz w:val="16"/>
        </w:rPr>
        <w:t>Примечание</w:t>
      </w:r>
      <w:r>
        <w:rPr>
          <w:sz w:val="16"/>
        </w:rPr>
        <w:t>. По согласованию с потребителем допускается поставка камня других фракций с максимальным размером не более 300 мм.</w:t>
      </w:r>
    </w:p>
    <w:p w:rsidR="00000000" w:rsidRDefault="00AB0758">
      <w:pPr>
        <w:ind w:firstLine="284"/>
        <w:jc w:val="both"/>
      </w:pPr>
      <w:r>
        <w:t>1.5. Для фракции 60-300 мм содержание камня размером ме</w:t>
      </w:r>
      <w:r>
        <w:softHyphen/>
        <w:t>нее 60 мм не должно превышать 5%, а более 300 мм — 15%, при этом максимальный размер камня не должен превышать 350</w:t>
      </w:r>
      <w:r>
        <w:rPr>
          <w:b/>
        </w:rPr>
        <w:t xml:space="preserve"> </w:t>
      </w:r>
      <w:r>
        <w:t>мм.</w:t>
      </w:r>
    </w:p>
    <w:p w:rsidR="00000000" w:rsidRDefault="00AB0758">
      <w:pPr>
        <w:ind w:firstLine="284"/>
        <w:jc w:val="both"/>
      </w:pPr>
      <w:r>
        <w:t>1.6. Фракции размером 0-60</w:t>
      </w:r>
      <w:r>
        <w:rPr>
          <w:b/>
        </w:rPr>
        <w:t xml:space="preserve"> </w:t>
      </w:r>
      <w:r>
        <w:t>мм не должны содержать камня размером 0-5 мм более 30%.</w:t>
      </w:r>
    </w:p>
    <w:p w:rsidR="00000000" w:rsidRDefault="00AB0758">
      <w:pPr>
        <w:ind w:firstLine="284"/>
        <w:jc w:val="both"/>
      </w:pPr>
      <w:r>
        <w:t>В отдельных случаях по согласованию с потребителем доля содер</w:t>
      </w:r>
      <w:r>
        <w:softHyphen/>
        <w:t>жания фракции размером 0-5 мм допускается более 30%, но не должна превышать 40%.</w:t>
      </w:r>
    </w:p>
    <w:p w:rsidR="00000000" w:rsidRDefault="00AB0758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ПРАВИЛА ПРИЕМКИ</w:t>
      </w:r>
    </w:p>
    <w:p w:rsidR="00000000" w:rsidRDefault="00AB0758">
      <w:pPr>
        <w:ind w:firstLine="284"/>
        <w:jc w:val="both"/>
      </w:pPr>
      <w:r>
        <w:t>2.1. Камень должен быть принят техническим контролем предпри</w:t>
      </w:r>
      <w:r>
        <w:softHyphen/>
        <w:t>я</w:t>
      </w:r>
      <w:r>
        <w:softHyphen/>
        <w:t>тия-изготовителя.</w:t>
      </w:r>
    </w:p>
    <w:p w:rsidR="00000000" w:rsidRDefault="00AB0758">
      <w:pPr>
        <w:ind w:firstLine="284"/>
        <w:jc w:val="both"/>
      </w:pPr>
      <w:r>
        <w:t>2.2. Приемку и поставку камня осуществляют партиями. В состав партии включают камень одного вида, сорта и фракции.</w:t>
      </w:r>
    </w:p>
    <w:p w:rsidR="00000000" w:rsidRDefault="00AB0758">
      <w:pPr>
        <w:ind w:firstLine="284"/>
        <w:jc w:val="both"/>
      </w:pPr>
      <w:r>
        <w:t>2.3. При отгрузке камня железнодорожным и водным видами транспорта размер партии устанавливают в з</w:t>
      </w:r>
      <w:r>
        <w:t>ависимости от годо</w:t>
      </w:r>
      <w:r>
        <w:softHyphen/>
        <w:t>вой мощности карьера:</w:t>
      </w:r>
    </w:p>
    <w:p w:rsidR="00000000" w:rsidRDefault="00AB0758">
      <w:pPr>
        <w:ind w:firstLine="284"/>
        <w:jc w:val="both"/>
      </w:pPr>
      <w:r>
        <w:t>1000 т — при годовой мощности до 1000000 т;</w:t>
      </w:r>
    </w:p>
    <w:p w:rsidR="00000000" w:rsidRDefault="00AB0758">
      <w:pPr>
        <w:ind w:firstLine="284"/>
        <w:jc w:val="both"/>
      </w:pPr>
      <w:r>
        <w:t xml:space="preserve">2000 т    »  </w:t>
      </w:r>
      <w:r>
        <w:tab/>
        <w:t xml:space="preserve">   »  </w:t>
      </w:r>
      <w:r>
        <w:tab/>
        <w:t xml:space="preserve">   » </w:t>
      </w:r>
      <w:r>
        <w:tab/>
        <w:t xml:space="preserve">    свыше 1000000 т. </w:t>
      </w:r>
    </w:p>
    <w:p w:rsidR="00000000" w:rsidRDefault="00AB0758">
      <w:pPr>
        <w:ind w:firstLine="284"/>
        <w:jc w:val="both"/>
      </w:pPr>
      <w:r>
        <w:t xml:space="preserve">Допускается отгружать партии камня меньшей массы. </w:t>
      </w:r>
    </w:p>
    <w:p w:rsidR="00000000" w:rsidRDefault="00AB0758">
      <w:pPr>
        <w:ind w:firstLine="284"/>
        <w:jc w:val="both"/>
      </w:pPr>
      <w:r>
        <w:t>2.4. При отгрузке камня автомобильным транспортом партией считают количество камня одного сорта и одной фракции, отгру</w:t>
      </w:r>
      <w:r>
        <w:softHyphen/>
        <w:t>жаемого одному потребителю в течение суток.</w:t>
      </w:r>
    </w:p>
    <w:p w:rsidR="00000000" w:rsidRDefault="00AB0758">
      <w:pPr>
        <w:ind w:firstLine="284"/>
        <w:jc w:val="both"/>
      </w:pPr>
      <w:r>
        <w:t>2.5. Количество поставляемого камня определяют по его мас</w:t>
      </w:r>
      <w:r>
        <w:softHyphen/>
        <w:t>се. Камень, отгружаемый в вагонах или автомобилях, взвешива</w:t>
      </w:r>
      <w:r>
        <w:softHyphen/>
        <w:t>ют на железнодорожных и автомобильных весах. М</w:t>
      </w:r>
      <w:r>
        <w:t>ассу камня, отгружаемого в судах, определяют по осадке судна.</w:t>
      </w:r>
    </w:p>
    <w:p w:rsidR="00000000" w:rsidRDefault="00AB0758">
      <w:pPr>
        <w:ind w:firstLine="284"/>
        <w:jc w:val="both"/>
      </w:pPr>
      <w:r>
        <w:t>2.6. Изготовитель должен определять фракционный состав камня не менее одного раза в квартал, а также при замене техно</w:t>
      </w:r>
      <w:r>
        <w:softHyphen/>
        <w:t>логического оборудования или переходе из одного забоя в другой при разработке пласта гипсового камня.</w:t>
      </w:r>
    </w:p>
    <w:p w:rsidR="00000000" w:rsidRDefault="00AB0758">
      <w:pPr>
        <w:ind w:firstLine="284"/>
        <w:jc w:val="both"/>
      </w:pPr>
      <w:r>
        <w:t>2.7. Потребитель имеет право проводить контрольную провер</w:t>
      </w:r>
      <w:r>
        <w:softHyphen/>
        <w:t>ку соответствия камня требованиям настоящего стандарта, при</w:t>
      </w:r>
      <w:r>
        <w:softHyphen/>
        <w:t>меняя при этом приведенный ниже порядок отбора проб и мето</w:t>
      </w:r>
      <w:r>
        <w:softHyphen/>
        <w:t>ды испытаний. Потребитель отбирает пробы после разгру</w:t>
      </w:r>
      <w:r>
        <w:t>зки тран</w:t>
      </w:r>
      <w:r>
        <w:softHyphen/>
        <w:t>спортных средств, изготовитель — перед или во время погрузки.</w:t>
      </w:r>
    </w:p>
    <w:p w:rsidR="00000000" w:rsidRDefault="00AB0758">
      <w:pPr>
        <w:ind w:firstLine="284"/>
        <w:jc w:val="both"/>
      </w:pPr>
      <w:r>
        <w:t>2.8. Пробы отбирают не менее чем из 10 мест равными частями на различной глубине при отгрузке железнодорожным или водным видам транспорта, а при отгрузке автомобильным транспортом — не менее чем из 5 машин.</w:t>
      </w:r>
    </w:p>
    <w:p w:rsidR="00000000" w:rsidRDefault="00AB0758">
      <w:pPr>
        <w:ind w:firstLine="284"/>
        <w:jc w:val="both"/>
      </w:pPr>
      <w:r>
        <w:t>2.9. Минимальную массу общей пробы определяют в зависи</w:t>
      </w:r>
      <w:r>
        <w:softHyphen/>
        <w:t>мости от максимального размера фракции:</w:t>
      </w:r>
    </w:p>
    <w:p w:rsidR="00000000" w:rsidRDefault="00AB0758">
      <w:pPr>
        <w:ind w:firstLine="284"/>
        <w:jc w:val="both"/>
      </w:pPr>
      <w:r>
        <w:t xml:space="preserve">50 кг — при максимальном размере фракции </w:t>
      </w:r>
      <w:r>
        <w:tab/>
        <w:t>60 мм;</w:t>
      </w:r>
    </w:p>
    <w:p w:rsidR="00000000" w:rsidRDefault="00AB0758">
      <w:pPr>
        <w:ind w:firstLine="284"/>
        <w:jc w:val="both"/>
      </w:pPr>
      <w:r>
        <w:t xml:space="preserve">300 кг   </w:t>
      </w:r>
      <w:r>
        <w:tab/>
        <w:t xml:space="preserve">»      </w:t>
      </w:r>
      <w:r>
        <w:tab/>
        <w:t xml:space="preserve">»         </w:t>
      </w:r>
      <w:r>
        <w:tab/>
        <w:t xml:space="preserve">»    </w:t>
      </w:r>
      <w:r>
        <w:tab/>
        <w:t xml:space="preserve">  »  </w:t>
      </w:r>
      <w:r>
        <w:tab/>
        <w:t xml:space="preserve">300 мм. </w:t>
      </w:r>
    </w:p>
    <w:p w:rsidR="00000000" w:rsidRDefault="00AB0758">
      <w:pPr>
        <w:ind w:firstLine="284"/>
        <w:jc w:val="both"/>
      </w:pPr>
      <w:r>
        <w:t xml:space="preserve">2.10. Если при испытании пробы получены </w:t>
      </w:r>
      <w:r>
        <w:t>неудовлетворитель</w:t>
      </w:r>
      <w:r>
        <w:softHyphen/>
        <w:t>ные результаты, проводят повторные испытания пробы камня, отобранной из той же партии.</w:t>
      </w:r>
    </w:p>
    <w:p w:rsidR="00000000" w:rsidRDefault="00AB0758">
      <w:pPr>
        <w:ind w:firstLine="284"/>
        <w:jc w:val="both"/>
      </w:pPr>
      <w:r>
        <w:t>При неудовлетворительных результатах повторных испытаний партия приемке не подлежит.</w:t>
      </w:r>
    </w:p>
    <w:p w:rsidR="00000000" w:rsidRDefault="00AB0758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МЕТОДЫ ИСПЫТАНИЙ</w:t>
      </w:r>
    </w:p>
    <w:p w:rsidR="00000000" w:rsidRDefault="00AB0758">
      <w:pPr>
        <w:ind w:firstLine="284"/>
        <w:jc w:val="both"/>
        <w:rPr>
          <w:spacing w:val="20"/>
        </w:rPr>
      </w:pPr>
      <w:r>
        <w:t xml:space="preserve">3.1. </w:t>
      </w:r>
      <w:r>
        <w:rPr>
          <w:spacing w:val="20"/>
        </w:rPr>
        <w:t>Подготовка к испытаниям</w:t>
      </w:r>
    </w:p>
    <w:p w:rsidR="00000000" w:rsidRDefault="00AB0758">
      <w:pPr>
        <w:ind w:firstLine="284"/>
        <w:jc w:val="both"/>
      </w:pPr>
      <w:r>
        <w:t>Общую пробу, составленную из проб, отобранных по п. 2.8, тщательно перемешивают и делят на две равные части: одну ис</w:t>
      </w:r>
      <w:r>
        <w:softHyphen/>
        <w:t>пользуют для испытаний, другую отбрасывают.</w:t>
      </w:r>
    </w:p>
    <w:p w:rsidR="00000000" w:rsidRDefault="00AB0758">
      <w:pPr>
        <w:ind w:firstLine="284"/>
        <w:jc w:val="both"/>
      </w:pPr>
      <w:r>
        <w:t>3.2</w:t>
      </w:r>
      <w:r>
        <w:rPr>
          <w:spacing w:val="20"/>
        </w:rPr>
        <w:t>.Определение фракционного состава</w:t>
      </w:r>
    </w:p>
    <w:p w:rsidR="00000000" w:rsidRDefault="00AB0758">
      <w:pPr>
        <w:ind w:firstLine="284"/>
        <w:jc w:val="both"/>
      </w:pPr>
      <w:r>
        <w:t xml:space="preserve">3.2.1. </w:t>
      </w:r>
      <w:r>
        <w:rPr>
          <w:i/>
        </w:rPr>
        <w:t>Аппаратура</w:t>
      </w:r>
    </w:p>
    <w:p w:rsidR="00000000" w:rsidRDefault="00AB0758">
      <w:pPr>
        <w:ind w:firstLine="284"/>
        <w:jc w:val="both"/>
      </w:pPr>
      <w:r>
        <w:t>Лабораторные весы по ГОСТ 23676-79.</w:t>
      </w:r>
    </w:p>
    <w:p w:rsidR="00000000" w:rsidRDefault="00AB0758">
      <w:pPr>
        <w:ind w:firstLine="284"/>
        <w:jc w:val="both"/>
      </w:pPr>
      <w:r>
        <w:t xml:space="preserve">Набор сит с круглыми </w:t>
      </w:r>
      <w:r>
        <w:t>отверстиями диаметром 5 и 60</w:t>
      </w:r>
      <w:r>
        <w:rPr>
          <w:b/>
        </w:rPr>
        <w:t xml:space="preserve"> </w:t>
      </w:r>
      <w:r>
        <w:t>мм.</w:t>
      </w:r>
    </w:p>
    <w:p w:rsidR="00000000" w:rsidRDefault="00AB0758">
      <w:pPr>
        <w:ind w:firstLine="284"/>
        <w:jc w:val="both"/>
      </w:pPr>
      <w:r>
        <w:t>Калибр с круглым отверстием диаметром (300±1) мм.</w:t>
      </w:r>
    </w:p>
    <w:p w:rsidR="00000000" w:rsidRDefault="00AB0758">
      <w:pPr>
        <w:ind w:firstLine="284"/>
        <w:jc w:val="both"/>
      </w:pPr>
      <w:r>
        <w:t>3.2.2. Фракционный состав пробы определяют контрольными ситами (для камня размером, меньшим или равным 60 мм) и посредством калибра (для камня размером, большим или рав</w:t>
      </w:r>
      <w:r>
        <w:softHyphen/>
        <w:t>ным 300 мм).</w:t>
      </w:r>
    </w:p>
    <w:p w:rsidR="00000000" w:rsidRDefault="00AB0758">
      <w:pPr>
        <w:ind w:firstLine="284"/>
        <w:jc w:val="both"/>
      </w:pPr>
      <w:r>
        <w:t>Из общей пробы, подготовленной к испытаниям, берут 5 кг камня максимальным размером 60 мм и 100 кг камня максималь</w:t>
      </w:r>
      <w:r>
        <w:softHyphen/>
        <w:t>ным размером 300 мм.</w:t>
      </w:r>
    </w:p>
    <w:p w:rsidR="00000000" w:rsidRDefault="00AB0758">
      <w:pPr>
        <w:ind w:firstLine="284"/>
        <w:jc w:val="both"/>
      </w:pPr>
      <w:r>
        <w:t>Пробу фракции размером 60-300 мм просеивают через сито с размером ячеек 60 мм, а более 300 мм определяют при по</w:t>
      </w:r>
      <w:r>
        <w:t>мощи калибра диаметром 300 мм.</w:t>
      </w:r>
    </w:p>
    <w:p w:rsidR="00000000" w:rsidRDefault="00AB0758">
      <w:pPr>
        <w:ind w:firstLine="284"/>
        <w:jc w:val="both"/>
      </w:pPr>
      <w:r>
        <w:t>Камень, прошедший через сито размером 60 мм, а также выде</w:t>
      </w:r>
      <w:r>
        <w:softHyphen/>
        <w:t>ленный на калибре размером более 300 мм взвешивают.</w:t>
      </w:r>
    </w:p>
    <w:p w:rsidR="00000000" w:rsidRDefault="00AB0758">
      <w:pPr>
        <w:ind w:firstLine="284"/>
        <w:jc w:val="both"/>
      </w:pPr>
      <w:r>
        <w:t>Содержание камня</w:t>
      </w:r>
      <w:r>
        <w:rPr>
          <w:lang w:val="en-US"/>
        </w:rPr>
        <w:t xml:space="preserve"> </w:t>
      </w:r>
      <w:r>
        <w:rPr>
          <w:i/>
          <w:lang w:val="en-US"/>
        </w:rPr>
        <w:t>X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>в процентах, выходящего за пределы установ</w:t>
      </w:r>
      <w:r>
        <w:softHyphen/>
        <w:t>ленных размеров, определяют по формуле</w:t>
      </w:r>
    </w:p>
    <w:p w:rsidR="00000000" w:rsidRDefault="00AB0758">
      <w:pPr>
        <w:ind w:firstLine="284"/>
        <w:jc w:val="center"/>
      </w:pPr>
      <w:r>
        <w:rPr>
          <w:position w:val="-22"/>
        </w:rPr>
        <w:object w:dxaOrig="1320" w:dyaOrig="620">
          <v:shape id="_x0000_i1026" type="#_x0000_t75" style="width:66pt;height:30.75pt" o:ole="">
            <v:imagedata r:id="rId5" o:title=""/>
          </v:shape>
          <o:OLEObject Type="Embed" ProgID="Equation.2" ShapeID="_x0000_i1026" DrawAspect="Content" ObjectID="_1427202364" r:id="rId6"/>
        </w:object>
      </w:r>
      <w:r>
        <w:t>,</w:t>
      </w:r>
    </w:p>
    <w:p w:rsidR="00000000" w:rsidRDefault="00AB0758">
      <w:pPr>
        <w:tabs>
          <w:tab w:val="left" w:pos="1134"/>
        </w:tabs>
        <w:ind w:firstLine="284"/>
        <w:jc w:val="both"/>
      </w:pPr>
      <w:r>
        <w:t xml:space="preserve">где </w:t>
      </w:r>
      <w:r>
        <w:rPr>
          <w:lang w:val="en-US"/>
        </w:rPr>
        <w:t>G</w:t>
      </w:r>
      <w:r>
        <w:t xml:space="preserve"> — </w:t>
      </w:r>
      <w:r>
        <w:tab/>
        <w:t>масса пробы, взятая для определения, кг;</w:t>
      </w:r>
    </w:p>
    <w:p w:rsidR="00000000" w:rsidRDefault="00AB0758">
      <w:pPr>
        <w:ind w:left="1134" w:hanging="567"/>
        <w:jc w:val="both"/>
      </w:pPr>
      <w:r>
        <w:rPr>
          <w:lang w:val="en-US"/>
        </w:rPr>
        <w:t>G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—</w:t>
      </w:r>
      <w:r>
        <w:t xml:space="preserve"> масса пробы камня размером, большим верхнего преде</w:t>
      </w:r>
      <w:r>
        <w:softHyphen/>
        <w:t xml:space="preserve">ла или меньшим нижнего предела фракции, кг. </w:t>
      </w:r>
    </w:p>
    <w:p w:rsidR="00000000" w:rsidRDefault="00AB0758">
      <w:pPr>
        <w:ind w:firstLine="284"/>
        <w:jc w:val="both"/>
      </w:pPr>
      <w:r>
        <w:t>Пробу камня размером 0-60 мм просеивают через сито с размерами ячеек 5 мм, остаток взвешивают</w:t>
      </w:r>
      <w:r>
        <w:t xml:space="preserve"> и содержание зерно</w:t>
      </w:r>
      <w:r>
        <w:softHyphen/>
        <w:t>вого состава</w:t>
      </w:r>
      <w:r>
        <w:rPr>
          <w:lang w:val="en-US"/>
        </w:rPr>
        <w:t xml:space="preserve"> </w:t>
      </w:r>
      <w:r>
        <w:rPr>
          <w:i/>
          <w:lang w:val="en-US"/>
        </w:rPr>
        <w:t>X</w:t>
      </w:r>
      <w:r>
        <w:rPr>
          <w:i/>
          <w:vertAlign w:val="subscript"/>
        </w:rPr>
        <w:t>2</w:t>
      </w:r>
      <w:r>
        <w:t xml:space="preserve"> в процентах определяют по формуле</w:t>
      </w:r>
    </w:p>
    <w:p w:rsidR="00000000" w:rsidRDefault="00AB0758">
      <w:pPr>
        <w:ind w:firstLine="284"/>
        <w:jc w:val="center"/>
      </w:pPr>
      <w:r>
        <w:rPr>
          <w:i/>
          <w:position w:val="-22"/>
        </w:rPr>
        <w:object w:dxaOrig="1780" w:dyaOrig="620">
          <v:shape id="_x0000_i1027" type="#_x0000_t75" style="width:89.25pt;height:30.75pt" o:ole="">
            <v:imagedata r:id="rId7" o:title=""/>
          </v:shape>
          <o:OLEObject Type="Embed" ProgID="Equation.2" ShapeID="_x0000_i1027" DrawAspect="Content" ObjectID="_1427202365" r:id="rId8"/>
        </w:object>
      </w:r>
      <w:r>
        <w:t>,</w:t>
      </w:r>
    </w:p>
    <w:p w:rsidR="00000000" w:rsidRDefault="00AB0758">
      <w:pPr>
        <w:ind w:firstLine="284"/>
        <w:jc w:val="both"/>
      </w:pPr>
      <w:r>
        <w:t>где</w:t>
      </w:r>
      <w:r>
        <w:rPr>
          <w:lang w:val="en-US"/>
        </w:rPr>
        <w:t xml:space="preserve"> G</w:t>
      </w:r>
      <w:r>
        <w:rPr>
          <w:vertAlign w:val="subscript"/>
        </w:rPr>
        <w:t>2</w:t>
      </w:r>
      <w:r>
        <w:rPr>
          <w:lang w:val="en-US"/>
        </w:rPr>
        <w:t xml:space="preserve"> —</w:t>
      </w:r>
      <w:r>
        <w:t xml:space="preserve"> масса остатка.</w:t>
      </w:r>
    </w:p>
    <w:p w:rsidR="00000000" w:rsidRDefault="00AB0758">
      <w:pPr>
        <w:ind w:firstLine="284"/>
        <w:jc w:val="both"/>
      </w:pPr>
      <w:r>
        <w:t xml:space="preserve">3.3. </w:t>
      </w:r>
      <w:r>
        <w:rPr>
          <w:spacing w:val="20"/>
        </w:rPr>
        <w:t>Определение содержания гипса</w:t>
      </w:r>
      <w:r>
        <w:rPr>
          <w:lang w:val="en-US"/>
        </w:rPr>
        <w:t xml:space="preserve"> (CaS</w:t>
      </w:r>
      <w:r>
        <w:t>О</w:t>
      </w:r>
      <w:r>
        <w:rPr>
          <w:vertAlign w:val="subscript"/>
          <w:lang w:val="en-US"/>
        </w:rPr>
        <w:t>4</w:t>
      </w:r>
      <w:r>
        <w:rPr>
          <w:lang w:val="en-US"/>
        </w:rPr>
        <w:sym w:font="Times New Roman" w:char="00B7"/>
      </w:r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>
        <w:t>О</w:t>
      </w:r>
      <w:r>
        <w:rPr>
          <w:lang w:val="en-US"/>
        </w:rPr>
        <w:t>)</w:t>
      </w:r>
    </w:p>
    <w:p w:rsidR="00000000" w:rsidRDefault="00AB0758">
      <w:pPr>
        <w:ind w:firstLine="284"/>
        <w:jc w:val="both"/>
      </w:pPr>
      <w:r>
        <w:t xml:space="preserve">3.3.1. </w:t>
      </w:r>
      <w:r>
        <w:rPr>
          <w:i/>
        </w:rPr>
        <w:t>Аппаратура</w:t>
      </w:r>
    </w:p>
    <w:p w:rsidR="00000000" w:rsidRDefault="00AB0758">
      <w:pPr>
        <w:ind w:firstLine="284"/>
        <w:jc w:val="both"/>
      </w:pPr>
      <w:r>
        <w:t>Лабораторные весы по ГОСТ 24104-80 и ГОСТ 23676-79.</w:t>
      </w:r>
    </w:p>
    <w:p w:rsidR="00000000" w:rsidRDefault="00AB0758">
      <w:pPr>
        <w:ind w:firstLine="284"/>
        <w:jc w:val="both"/>
      </w:pPr>
      <w:r>
        <w:t>Сушильный шкаф.</w:t>
      </w:r>
    </w:p>
    <w:p w:rsidR="00000000" w:rsidRDefault="00AB0758">
      <w:pPr>
        <w:ind w:firstLine="284"/>
        <w:jc w:val="both"/>
      </w:pPr>
      <w:r>
        <w:t>Муфельная печь.</w:t>
      </w:r>
    </w:p>
    <w:p w:rsidR="00000000" w:rsidRDefault="00AB0758">
      <w:pPr>
        <w:ind w:firstLine="284"/>
        <w:jc w:val="both"/>
      </w:pPr>
      <w:r>
        <w:t>Фарфоровые тигель и ступка с пестиком по ГОСТ 9147-80.</w:t>
      </w:r>
    </w:p>
    <w:p w:rsidR="00000000" w:rsidRDefault="00AB0758">
      <w:pPr>
        <w:ind w:firstLine="284"/>
        <w:jc w:val="both"/>
      </w:pPr>
      <w:r>
        <w:t>Эксикатор по ГОСТ 25336-82.</w:t>
      </w:r>
    </w:p>
    <w:p w:rsidR="00000000" w:rsidRDefault="00AB0758">
      <w:pPr>
        <w:ind w:firstLine="284"/>
        <w:jc w:val="both"/>
      </w:pPr>
      <w:r>
        <w:t xml:space="preserve">3.3.2. </w:t>
      </w:r>
      <w:r>
        <w:rPr>
          <w:i/>
        </w:rPr>
        <w:t>Проведение испытания</w:t>
      </w:r>
    </w:p>
    <w:p w:rsidR="00000000" w:rsidRDefault="00AB0758">
      <w:pPr>
        <w:ind w:firstLine="284"/>
        <w:jc w:val="both"/>
      </w:pPr>
      <w:r>
        <w:t>Камень после определения фракционного состава дробят до размеров около 10 мм и отбирают среднюю пробу массой около 1 кг. Затем послед</w:t>
      </w:r>
      <w:r>
        <w:t>овательным квартованием отбирают пробу мас</w:t>
      </w:r>
      <w:r>
        <w:softHyphen/>
        <w:t>сой около 100 г.</w:t>
      </w:r>
    </w:p>
    <w:p w:rsidR="00000000" w:rsidRDefault="00AB0758">
      <w:pPr>
        <w:ind w:firstLine="284"/>
        <w:jc w:val="both"/>
      </w:pPr>
      <w:r>
        <w:t>Пробу камня измельчают в фарфоровой ступке до полного про</w:t>
      </w:r>
      <w:r>
        <w:softHyphen/>
        <w:t>хождения через сито с сеткой № 02.</w:t>
      </w:r>
    </w:p>
    <w:p w:rsidR="00000000" w:rsidRDefault="00AB0758">
      <w:pPr>
        <w:ind w:firstLine="284"/>
        <w:jc w:val="both"/>
      </w:pPr>
      <w:r>
        <w:t>Допускается пробу камня массой около 100 г отбирать после помольного оборудования.</w:t>
      </w:r>
    </w:p>
    <w:p w:rsidR="00000000" w:rsidRDefault="00AB0758">
      <w:pPr>
        <w:ind w:firstLine="284"/>
        <w:jc w:val="both"/>
      </w:pPr>
      <w:r>
        <w:t>Навеску массой около 2 г, высушенную до постоянной массы при температуре (50±5)°С, помещают в предварительно прока</w:t>
      </w:r>
      <w:r>
        <w:softHyphen/>
        <w:t>ленный взвешенный фарфоровый тигель и нагревают в муфельной печи при температуре (400±15)°С в течение 1 ч. После прокали</w:t>
      </w:r>
      <w:r>
        <w:softHyphen/>
        <w:t>вания тигель с навеской охлаждают в экси</w:t>
      </w:r>
      <w:r>
        <w:t>каторе и взвешивают.</w:t>
      </w:r>
    </w:p>
    <w:p w:rsidR="00000000" w:rsidRDefault="00AB0758">
      <w:pPr>
        <w:ind w:firstLine="284"/>
        <w:jc w:val="both"/>
      </w:pPr>
      <w:r>
        <w:t>Прокаливание повторяют при той же температуре до получе</w:t>
      </w:r>
      <w:r>
        <w:softHyphen/>
        <w:t>ния постоянной массы. Взвешивание проводят с погрешностью до 0,0002 г.</w:t>
      </w:r>
    </w:p>
    <w:p w:rsidR="00000000" w:rsidRDefault="00AB0758">
      <w:pPr>
        <w:ind w:firstLine="284"/>
        <w:jc w:val="both"/>
      </w:pPr>
      <w:r>
        <w:t>Содержание кристаллизационной воды</w:t>
      </w:r>
      <w:r>
        <w:rPr>
          <w:lang w:val="en-US"/>
        </w:rPr>
        <w:t xml:space="preserve"> </w:t>
      </w:r>
      <w:r>
        <w:rPr>
          <w:i/>
          <w:lang w:val="en-US"/>
        </w:rPr>
        <w:t>G</w:t>
      </w:r>
      <w:r>
        <w:t xml:space="preserve"> в процентах вычис</w:t>
      </w:r>
      <w:r>
        <w:softHyphen/>
        <w:t>ляют по формуле</w:t>
      </w:r>
    </w:p>
    <w:p w:rsidR="00000000" w:rsidRDefault="00AB0758">
      <w:pPr>
        <w:ind w:firstLine="284"/>
        <w:jc w:val="center"/>
      </w:pPr>
      <w:r>
        <w:rPr>
          <w:position w:val="-22"/>
        </w:rPr>
        <w:object w:dxaOrig="1640" w:dyaOrig="620">
          <v:shape id="_x0000_i1028" type="#_x0000_t75" style="width:81.75pt;height:30.75pt" o:ole="">
            <v:imagedata r:id="rId9" o:title=""/>
          </v:shape>
          <o:OLEObject Type="Embed" ProgID="Equation.2" ShapeID="_x0000_i1028" DrawAspect="Content" ObjectID="_1427202366" r:id="rId10"/>
        </w:object>
      </w:r>
      <w:r>
        <w:t>,</w:t>
      </w:r>
    </w:p>
    <w:p w:rsidR="00000000" w:rsidRDefault="00AB0758">
      <w:pPr>
        <w:ind w:firstLine="284"/>
        <w:jc w:val="both"/>
      </w:pPr>
      <w:r>
        <w:t xml:space="preserve">где </w:t>
      </w:r>
      <w:r>
        <w:rPr>
          <w:i/>
        </w:rPr>
        <w:t>m</w:t>
      </w:r>
      <w:r>
        <w:t xml:space="preserve"> — масса пробы до прокаливания, г;</w:t>
      </w:r>
    </w:p>
    <w:p w:rsidR="00000000" w:rsidRDefault="00AB0758">
      <w:pPr>
        <w:ind w:firstLine="567"/>
        <w:jc w:val="both"/>
      </w:pPr>
      <w:r>
        <w:rPr>
          <w:i/>
        </w:rPr>
        <w:t>т</w:t>
      </w:r>
      <w:r>
        <w:rPr>
          <w:i/>
          <w:vertAlign w:val="subscript"/>
        </w:rPr>
        <w:t>1</w:t>
      </w:r>
      <w:r>
        <w:rPr>
          <w:i/>
        </w:rPr>
        <w:t xml:space="preserve"> —</w:t>
      </w:r>
      <w:r>
        <w:t xml:space="preserve"> масса пробы после прокаливания, г.</w:t>
      </w:r>
    </w:p>
    <w:p w:rsidR="00000000" w:rsidRDefault="00AB0758">
      <w:pPr>
        <w:ind w:firstLine="284"/>
        <w:jc w:val="both"/>
      </w:pPr>
      <w:r>
        <w:t>Содержание гипса (</w:t>
      </w:r>
      <w:r>
        <w:rPr>
          <w:lang w:val="en-US"/>
        </w:rPr>
        <w:t>CaS</w:t>
      </w:r>
      <w:r>
        <w:t>О</w:t>
      </w:r>
      <w:r>
        <w:rPr>
          <w:vertAlign w:val="subscript"/>
          <w:lang w:val="en-US"/>
        </w:rPr>
        <w:t>4</w:t>
      </w:r>
      <w:r>
        <w:rPr>
          <w:lang w:val="en-US"/>
        </w:rPr>
        <w:sym w:font="Times New Roman" w:char="00B7"/>
      </w:r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>
        <w:t>О) в процентах вычисляют па формуле</w:t>
      </w:r>
    </w:p>
    <w:p w:rsidR="00000000" w:rsidRDefault="00AB0758">
      <w:pPr>
        <w:ind w:firstLine="284"/>
        <w:jc w:val="center"/>
      </w:pPr>
      <w:r>
        <w:rPr>
          <w:position w:val="-10"/>
          <w:lang w:val="en-US"/>
        </w:rPr>
        <w:object w:dxaOrig="2640" w:dyaOrig="320">
          <v:shape id="_x0000_i1029" type="#_x0000_t75" style="width:132pt;height:15.75pt" o:ole="">
            <v:imagedata r:id="rId11" o:title=""/>
          </v:shape>
          <o:OLEObject Type="Embed" ProgID="Equation.2" ShapeID="_x0000_i1029" DrawAspect="Content" ObjectID="_1427202367" r:id="rId12"/>
        </w:object>
      </w:r>
      <w:r>
        <w:rPr>
          <w:lang w:val="en-US"/>
        </w:rPr>
        <w:t>,</w:t>
      </w:r>
    </w:p>
    <w:p w:rsidR="00000000" w:rsidRDefault="00AB0758">
      <w:pPr>
        <w:ind w:firstLine="284"/>
        <w:jc w:val="both"/>
      </w:pPr>
      <w:r>
        <w:t>где G — содержание кристаллизационной воды, %;</w:t>
      </w:r>
    </w:p>
    <w:p w:rsidR="00000000" w:rsidRDefault="00AB0758">
      <w:pPr>
        <w:ind w:firstLine="284"/>
        <w:jc w:val="both"/>
      </w:pPr>
      <w:r>
        <w:t>4,7785 — коэффициент пересчета.</w:t>
      </w:r>
    </w:p>
    <w:p w:rsidR="00000000" w:rsidRDefault="00AB0758">
      <w:pPr>
        <w:ind w:firstLine="284"/>
        <w:jc w:val="both"/>
      </w:pPr>
      <w:r>
        <w:t>3.4. Содержание серно</w:t>
      </w:r>
      <w:r>
        <w:t>го ангидрита (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>) определяют по ГОСТ 5382</w:t>
      </w:r>
      <w:r>
        <w:rPr>
          <w:lang w:val="en-US"/>
        </w:rPr>
        <w:t>-</w:t>
      </w:r>
      <w:r>
        <w:t>73.</w:t>
      </w:r>
    </w:p>
    <w:p w:rsidR="00000000" w:rsidRDefault="00AB0758">
      <w:pPr>
        <w:ind w:firstLine="284"/>
        <w:jc w:val="both"/>
      </w:pPr>
      <w:r>
        <w:t xml:space="preserve">Суммарное содержание гипса и ангидрита в пересчете на </w:t>
      </w:r>
      <w:r>
        <w:rPr>
          <w:lang w:val="en-US"/>
        </w:rPr>
        <w:t>CaS</w:t>
      </w:r>
      <w:r>
        <w:t>О</w:t>
      </w:r>
      <w:r>
        <w:rPr>
          <w:vertAlign w:val="subscript"/>
          <w:lang w:val="en-US"/>
        </w:rPr>
        <w:t>4</w:t>
      </w:r>
      <w:r>
        <w:rPr>
          <w:lang w:val="en-US"/>
        </w:rPr>
        <w:sym w:font="Times New Roman" w:char="00B7"/>
      </w:r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>
        <w:t>О в процентах вычисляют по формуле</w:t>
      </w:r>
    </w:p>
    <w:p w:rsidR="00000000" w:rsidRDefault="00AB0758">
      <w:pPr>
        <w:ind w:firstLine="284"/>
        <w:jc w:val="center"/>
      </w:pPr>
      <w:r>
        <w:rPr>
          <w:position w:val="-10"/>
          <w:lang w:val="en-US"/>
        </w:rPr>
        <w:object w:dxaOrig="2560" w:dyaOrig="320">
          <v:shape id="_x0000_i1030" type="#_x0000_t75" style="width:128.25pt;height:15.75pt" o:ole="">
            <v:imagedata r:id="rId13" o:title=""/>
          </v:shape>
          <o:OLEObject Type="Embed" ProgID="Equation.2" ShapeID="_x0000_i1030" DrawAspect="Content" ObjectID="_1427202368" r:id="rId14"/>
        </w:object>
      </w:r>
      <w:r>
        <w:t>,</w:t>
      </w:r>
    </w:p>
    <w:p w:rsidR="00000000" w:rsidRDefault="00AB0758">
      <w:pPr>
        <w:ind w:firstLine="284"/>
        <w:jc w:val="both"/>
      </w:pPr>
      <w:r>
        <w:t>где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3</w:t>
      </w:r>
      <w:r>
        <w:t xml:space="preserve"> — содержание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t xml:space="preserve"> %;</w:t>
      </w:r>
    </w:p>
    <w:p w:rsidR="00000000" w:rsidRDefault="00AB0758">
      <w:pPr>
        <w:ind w:firstLine="284"/>
        <w:jc w:val="both"/>
      </w:pPr>
      <w:r>
        <w:t>2,15— коэффициент пересчета.</w:t>
      </w:r>
    </w:p>
    <w:p w:rsidR="00000000" w:rsidRDefault="00AB0758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ТРАНСПОРТИРОВАНИЕ И ХРАНЕНИЕ</w:t>
      </w:r>
    </w:p>
    <w:p w:rsidR="00000000" w:rsidRDefault="00AB0758">
      <w:pPr>
        <w:ind w:firstLine="284"/>
        <w:jc w:val="both"/>
      </w:pPr>
      <w:r>
        <w:t>4.1. Гипсовый и гипсоангидритовый камень поставляют нава</w:t>
      </w:r>
      <w:r>
        <w:softHyphen/>
        <w:t>лом всеми видами транспортных средств.</w:t>
      </w:r>
    </w:p>
    <w:p w:rsidR="00000000" w:rsidRDefault="00AB0758">
      <w:pPr>
        <w:ind w:firstLine="284"/>
        <w:jc w:val="both"/>
      </w:pPr>
      <w:r>
        <w:t>4.2. Камень транспортируют железнодорожным транспортом в соответ</w:t>
      </w:r>
      <w:r>
        <w:rPr>
          <w:lang w:val="en-US"/>
        </w:rPr>
        <w:softHyphen/>
      </w:r>
      <w:r>
        <w:t>ствии с Правилами перевозок грузов и Техническими ус</w:t>
      </w:r>
      <w:r>
        <w:softHyphen/>
        <w:t>ловиями погрузки и крепления грузов, у</w:t>
      </w:r>
      <w:r>
        <w:t>твержденными Министер</w:t>
      </w:r>
      <w:r>
        <w:softHyphen/>
        <w:t>ством путей сообщения.</w:t>
      </w:r>
    </w:p>
    <w:p w:rsidR="00000000" w:rsidRDefault="00AB0758">
      <w:pPr>
        <w:ind w:firstLine="284"/>
        <w:jc w:val="both"/>
      </w:pPr>
      <w:r>
        <w:t>4.3. Предприятие-изготовитель должно сопровождать каждую отгружаемую партию документом о качестве установленной фор</w:t>
      </w:r>
      <w:r>
        <w:softHyphen/>
        <w:t>мы, в котором указывают:</w:t>
      </w:r>
    </w:p>
    <w:p w:rsidR="00000000" w:rsidRDefault="00AB0758">
      <w:pPr>
        <w:ind w:firstLine="284"/>
        <w:jc w:val="both"/>
      </w:pPr>
      <w:r>
        <w:t>наименование и адрес предприятия-изготовителя;</w:t>
      </w:r>
    </w:p>
    <w:p w:rsidR="00000000" w:rsidRDefault="00AB0758">
      <w:pPr>
        <w:ind w:firstLine="284"/>
        <w:jc w:val="both"/>
      </w:pPr>
      <w:r>
        <w:t>наименование камня;</w:t>
      </w:r>
    </w:p>
    <w:p w:rsidR="00000000" w:rsidRDefault="00AB0758">
      <w:pPr>
        <w:ind w:firstLine="284"/>
        <w:jc w:val="both"/>
      </w:pPr>
      <w:r>
        <w:t>номер партии, дату отправки и объем партии;</w:t>
      </w:r>
    </w:p>
    <w:p w:rsidR="00000000" w:rsidRDefault="00AB0758">
      <w:pPr>
        <w:ind w:firstLine="284"/>
        <w:jc w:val="both"/>
      </w:pPr>
      <w:r>
        <w:t>сорт, размер фракции;</w:t>
      </w:r>
    </w:p>
    <w:p w:rsidR="00000000" w:rsidRDefault="00AB0758">
      <w:pPr>
        <w:ind w:firstLine="284"/>
        <w:jc w:val="both"/>
      </w:pPr>
      <w:r>
        <w:t>обозначение настоящего стандарта.</w:t>
      </w:r>
    </w:p>
    <w:p w:rsidR="00000000" w:rsidRDefault="00AB0758">
      <w:pPr>
        <w:ind w:firstLine="284"/>
        <w:jc w:val="both"/>
      </w:pPr>
      <w:r>
        <w:t>4.4. Гипсовый камень, предназначенный для производства гип</w:t>
      </w:r>
      <w:r>
        <w:softHyphen/>
        <w:t>совых вяжущих, применяемых в фарфоро-фаянсовой, керамичес</w:t>
      </w:r>
      <w:r>
        <w:softHyphen/>
        <w:t xml:space="preserve">кой и медицинской промышленности, а также </w:t>
      </w:r>
      <w:r>
        <w:t>белого, декоратив</w:t>
      </w:r>
      <w:r>
        <w:softHyphen/>
        <w:t>ного и гипсоглиноземистого расширяющегося цемента, должен храниться у потребителя в закрытых складах.</w:t>
      </w:r>
    </w:p>
    <w:p w:rsidR="00000000" w:rsidRDefault="00AB0758">
      <w:pPr>
        <w:ind w:firstLine="284"/>
        <w:jc w:val="both"/>
      </w:pPr>
      <w:r>
        <w:t>4.5. При транспортировании и хранении камень должен быть защищен от загрязнения посторонними примесями.</w:t>
      </w:r>
    </w:p>
    <w:p w:rsidR="00000000" w:rsidRDefault="00AB0758">
      <w:pPr>
        <w:ind w:firstLine="284"/>
        <w:jc w:val="both"/>
      </w:pPr>
    </w:p>
    <w:sectPr w:rsidR="00000000">
      <w:pgSz w:w="11906" w:h="16838"/>
      <w:pgMar w:top="1440" w:right="382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58"/>
    <w:rsid w:val="00A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280"/>
      <w:ind w:left="40"/>
      <w:jc w:val="center"/>
      <w:textAlignment w:val="baseline"/>
    </w:pPr>
    <w:rPr>
      <w:b/>
      <w:sz w:val="16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280"/>
      <w:jc w:val="center"/>
      <w:textAlignment w:val="baseline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1370</Words>
  <Characters>7815</Characters>
  <Application>Microsoft Office Word</Application>
  <DocSecurity>0</DocSecurity>
  <Lines>65</Lines>
  <Paragraphs>18</Paragraphs>
  <ScaleCrop>false</ScaleCrop>
  <Company>СНИиП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4013-82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