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35D9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25881-83</w:t>
      </w:r>
    </w:p>
    <w:p w:rsidR="00000000" w:rsidRDefault="00B635D9">
      <w:pPr>
        <w:jc w:val="right"/>
        <w:rPr>
          <w:rFonts w:ascii="Times New Roman" w:hAnsi="Times New Roman"/>
          <w:sz w:val="20"/>
        </w:rPr>
      </w:pPr>
    </w:p>
    <w:p w:rsidR="00000000" w:rsidRDefault="00B635D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УДК 691.32.001.4:006.354                                                      Группа Ж19 </w:t>
      </w:r>
    </w:p>
    <w:p w:rsidR="00000000" w:rsidRDefault="00B635D9">
      <w:pPr>
        <w:rPr>
          <w:rFonts w:ascii="Times New Roman" w:hAnsi="Times New Roman"/>
          <w:sz w:val="20"/>
        </w:rPr>
      </w:pPr>
    </w:p>
    <w:p w:rsidR="00000000" w:rsidRDefault="00B635D9">
      <w:pPr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ГОСУДАРСТВЕННЫЙ СТАНДАРТ СОЮЗА ССР </w:t>
      </w: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Бетоны химически стойкие</w:t>
      </w: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Методы испытаний</w:t>
      </w: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Chemically resistant concretes. Methods of test </w:t>
      </w:r>
    </w:p>
    <w:p w:rsidR="00000000" w:rsidRDefault="00B635D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ОКП 570100 </w:t>
      </w: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Дата введения 1984-07-01 </w:t>
      </w:r>
    </w:p>
    <w:p w:rsidR="00000000" w:rsidRDefault="00B635D9">
      <w:pPr>
        <w:rPr>
          <w:rFonts w:ascii="Times New Roman" w:hAnsi="Times New Roman"/>
          <w:sz w:val="20"/>
        </w:rPr>
      </w:pPr>
    </w:p>
    <w:p w:rsidR="00000000" w:rsidRDefault="00B635D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РАЗРАБОТАН Научно-исследовательским институтом бетона и железобетона (НИИЖБ) Госстроя СССР 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Министерством цветной металлургии СССР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Министерством высшего и среднего образования РСФСР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ИСПОЛНИТЕЛИ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В.В. Патуроев, д-р техн. наук, проф. (руководитель темы); А.Н. Волгушев, канд.техн.наук; Г.К. Соловьев, канд.техн.наук; Н.Ф. Шестеркина, канд.техн.наук; А.М. Фанталов; И.И. Иванова; В.Н. Кулезнев, д-р хим. наук; С.М. Гринберг, канд.техн.наук; И.И. Костин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ВНЕСЕН Научно-исследов</w:t>
      </w:r>
      <w:r>
        <w:rPr>
          <w:rFonts w:ascii="Times New Roman" w:hAnsi="Times New Roman"/>
          <w:sz w:val="20"/>
        </w:rPr>
        <w:t>ательским институтом бетона и железобетона (НИИЖБ) Госстроя СССР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Зам. директора Б.А. Крылов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УТВЕРЖДЕН И ВВЕДЕН В ДЕЙСТВИЕ Постановлением Государственного комитета СССР по делам строительства от 7 июля 1983 г. № 175     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ГОСТ 25246-82 в части приложения 5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все виды полимербетонов  и полимерсиликатных бетонов по ГОСТ 25246-82 и устанавливает метод определения их химической стойкости в ненапряженном состоянии при воздействии на них жидких агрессивных сред (дале</w:t>
      </w:r>
      <w:r>
        <w:rPr>
          <w:rFonts w:ascii="Times New Roman" w:hAnsi="Times New Roman"/>
          <w:sz w:val="20"/>
        </w:rPr>
        <w:t>е - сред) путем испытания контрольных образцов.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следует применять при определении химической стойкости полимербетонов и полимерсиликатных бетонов, устанавливаемой в стандартах, технических условиях и рабочих чертежах на конструкции из полимербетонов или полимерсиликатных бетонов, а также при изучении химической стойкости новых составов и видов указанных бетонов.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Методика прогнозирования долговечности химически стойких бетонов по результатам испытаний образцов, проведенных в течение года</w:t>
      </w:r>
      <w:r>
        <w:rPr>
          <w:rFonts w:ascii="Times New Roman" w:hAnsi="Times New Roman"/>
          <w:sz w:val="20"/>
        </w:rPr>
        <w:t>, приведена в справочном приложении.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Методика предназначена для обоснования выбора химически </w:t>
      </w:r>
      <w:r>
        <w:rPr>
          <w:rFonts w:ascii="Times New Roman" w:hAnsi="Times New Roman"/>
          <w:sz w:val="20"/>
        </w:rPr>
        <w:lastRenderedPageBreak/>
        <w:t>стойкого бетона.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Стандарт соответствует стандарту ИСО 1920-76 в части требований к образцам.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Общие положения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Метод испытаний основан на определении химической стойкости полимербетонов и полимерсиликатных бетонов по изменению массы и прочности образцов после выдержки в среде в течение контрольного периода времени.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Лица, допущенные к проведению испытаний, должны пройти курс обучения и инструктаж п</w:t>
      </w:r>
      <w:r>
        <w:rPr>
          <w:rFonts w:ascii="Times New Roman" w:hAnsi="Times New Roman"/>
          <w:sz w:val="20"/>
        </w:rPr>
        <w:t>о безопасности труда и правилам эксплуатации испытательных машин, приборов и оборудования в соответствии с требованиями ГОСТ 12.0.004-79.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Изготовление образцов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Образцы для испытания изготовляют размерами 40х40х160 мм. Допускается при экспертной оценке химической стойкости эксплуатируемых изделий использовать образцы тех же размеров, выпиленные или выбуренные из конструкции.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Для испытания изготовляют семь серий образцов из одной пробы бетона (одну серию для каждого срока испытания). Число </w:t>
      </w:r>
      <w:r>
        <w:rPr>
          <w:rFonts w:ascii="Times New Roman" w:hAnsi="Times New Roman"/>
          <w:sz w:val="20"/>
        </w:rPr>
        <w:t>образцов в серии должно быть не менее 3.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Перед формованием образцов внутренняя поверхность форм должна быть покрыта разделительным слоем из парафина, масла или другого материала по ГОСТ 25246-82.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Образцы необходимо формовать не позднее чем через 20 мин после приготовления смеси. Общее время формования должно составлять 10-15 мин и заканчиваться до начала схватывания.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Образцы уплотняют на виброплощадках с частотой (2900±100) колебаний в минуту и амплитудой (0,5±0,05) мм в течение 1 - 2 мин.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Образцы должны распалубливаться через 24 ч отверждения при температуре не ниже 18°С. Последующие условия твердения образцов до погружения в среду должны быть аналогичны твердению изделий из этого бетона с учетом требований ГОСТ 25246-82.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Аппараты, материалы и реактивы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При проведении испытаний применяют следующее оборудование и приборы: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испытательная машина или пресс по ГОСТ 8905-82;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весы технические по ГОСТ 24104-80;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штангенциркуль по ГОСТ 166-80;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металлические линейки по ГОСТ 427-75</w:t>
      </w:r>
      <w:r>
        <w:rPr>
          <w:rFonts w:ascii="Times New Roman" w:hAnsi="Times New Roman"/>
          <w:sz w:val="20"/>
        </w:rPr>
        <w:t>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формы для изготовления контрольных образцов по ГОСТ 310.4-81;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лабораторная виброплощадка типа 435А;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противни (эмалированные);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щипцы;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емкости для погружения образцов в среду;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реактивы по ГОСТ 25246-82;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терморегулирующее устройство (термометры электроконтактные по ГОСТ 9871-75).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Материал форм должен быть инертным к составляющим смесей полимербетонов и полимерсиликатных бетонов.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Емкости должны быть из материала стойкого к воздействию применяемых сред, плотно закрываться крышками и иметь ра</w:t>
      </w:r>
      <w:r>
        <w:rPr>
          <w:rFonts w:ascii="Times New Roman" w:hAnsi="Times New Roman"/>
          <w:sz w:val="20"/>
        </w:rPr>
        <w:t>змеры, позволяющие разместить необходимое количество испытываемых образцов.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Реактивы для получения химически агрессивных сред и их концентрацию выбирают в соответствии с условиями эксплуатации конструкции. Перечень наиболее распространенных химически агрессивных сред приведен в ГОСТ 25246-82.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Подготовка к испытанию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Образцы должны иметь маркировку, в которой указывают номер серии и порядковый номер образца в серии. Маркировка должна сохраняться в течение всего процесса испытаний.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4.2. На </w:t>
      </w:r>
      <w:r>
        <w:rPr>
          <w:rFonts w:ascii="Times New Roman" w:hAnsi="Times New Roman"/>
          <w:sz w:val="20"/>
        </w:rPr>
        <w:t>поверхности образцов не должно быть загрязнений, следов смазки и других веществ. Загрязнения должны удаляться с помощью наждачной бумаги или растворителями, не оказывающими отрицательного влияния на поверхность образцов. Образцы не должны иметь внешних дефектов в виде трещин, вздутий и раковин диаметром и глубиной более 4 мм.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Плотность отдельных образцов одной серии не должна различаться более чем ±1%. При отклонении в больших пределах образцы отбраковывают.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Плотность образцов должна определятьс</w:t>
      </w:r>
      <w:r>
        <w:rPr>
          <w:rFonts w:ascii="Times New Roman" w:hAnsi="Times New Roman"/>
          <w:sz w:val="20"/>
        </w:rPr>
        <w:t>я в соответствии с требованиями ГОСТ 12730.1-78.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Проведение испытаний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Перед погружением в среду замеряют размеры образцов всех серий металлической линейкой или штангенциркулем с погрешностью до 1 мм.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Определяют массу образцов взвешиванием с погрешностью до 0,01 г.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Образцы испытывают сериями: одну до погружения в среду, затем  по одной серии после каждого срока, предусмотренного п. 5.5.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Образцы испытывают на растяжение при изгибе в соответствии с требованиями ГОСТ 310.4-81.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.5. Продолжительность выдерживания образцов в среде принимают равной 360 сут при промежуточных сроках 30, 60, 90, 180, 270 сут.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Образцы для испытания помещают в емкость так, чтобы они не соприкасались друг с другом и со стенками емкости, заливают их заранее приготовленным раствором среды необходимой концентрации и температуры до полного погружения. Слой раствора над образцами должен быть не менее 2 - 3 см.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5.7. Регулярно через 30 сут необходимо проверять концентрацию среды. В случае снижения концентр</w:t>
      </w:r>
      <w:r>
        <w:rPr>
          <w:rFonts w:ascii="Times New Roman" w:hAnsi="Times New Roman"/>
          <w:sz w:val="20"/>
        </w:rPr>
        <w:t>ации более чем на 10% от установленной, среду полностью заменяют.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5.8. При истечении установленного срока нахождения в условиях воздействия среды образцы с помощью щипцов извлекают из емкости, устанавливают на противень, ополаскивают водопроводной водой, промокают фильтровальной бумагой или протирают тканью, затем измеряют, взвешивают и определяют прочность на растяжение при изгибе.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5.9. Температура среды должна быть в пределах (20±2)°С. Испытания при повышенных температурах назначают в зависимости от усл</w:t>
      </w:r>
      <w:r>
        <w:rPr>
          <w:rFonts w:ascii="Times New Roman" w:hAnsi="Times New Roman"/>
          <w:sz w:val="20"/>
        </w:rPr>
        <w:t>овий эксплуатации конструкции, выбирая одну из величин следующего ряда температур: 40, 60, 80, 100°С.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5.10. Емкости для проведения испытаний при повышенных температурах должны быть снабжены теплоизоляцией, теплоносителем и терморегулирующими устройствами, обеспечивающими поддержание заданного температурного режима в среде с погрешностью ±2°С.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5.11. Не допускается погружение в одну емкость образцов, изготовленных из химически стойких бетонов различных составов.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Обработка результатов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По результ</w:t>
      </w:r>
      <w:r>
        <w:rPr>
          <w:rFonts w:ascii="Times New Roman" w:hAnsi="Times New Roman"/>
          <w:sz w:val="20"/>
        </w:rPr>
        <w:t>атам испытаний в пределах каждой серии находят среднеарифметическое значение показателей прочности образцов на растяжение при изгибе и их массы. Отбраковка анормальных результатов испытаний по прочности должна производиться по ГОСТ 10180-78.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6.2. Химическую стойкость полимербетона и полимерсиликатного бетона оценивают путем сравнения фактического коэффициента химической стойкости </w:t>
      </w:r>
      <w:r>
        <w:rPr>
          <w:rFonts w:ascii="Times New Roman" w:hAnsi="Times New Roman"/>
          <w:position w:val="-12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pt">
            <v:imagedata r:id="rId4" o:title=""/>
          </v:shape>
        </w:pict>
      </w:r>
      <w:r>
        <w:rPr>
          <w:rFonts w:ascii="Times New Roman" w:hAnsi="Times New Roman"/>
          <w:sz w:val="20"/>
        </w:rPr>
        <w:t>, определяемого на серии образцов, выдержанных в среде в течение 360 сут, с требованиями ГОСТ 25246-82.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Коэффициент химич</w:t>
      </w:r>
      <w:r>
        <w:rPr>
          <w:rFonts w:ascii="Times New Roman" w:hAnsi="Times New Roman"/>
          <w:sz w:val="20"/>
        </w:rPr>
        <w:t xml:space="preserve">еской стойкости </w:t>
      </w:r>
      <w:r>
        <w:rPr>
          <w:rFonts w:ascii="Times New Roman" w:hAnsi="Times New Roman"/>
          <w:position w:val="-12"/>
          <w:sz w:val="20"/>
        </w:rPr>
        <w:pict>
          <v:shape id="_x0000_i1026" type="#_x0000_t75" style="width:26.25pt;height:18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определяют по изменению прочности образцов на растяжение при изгибе после каждого срока испытаний по формуле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26"/>
          <w:sz w:val="20"/>
        </w:rPr>
        <w:object w:dxaOrig="920" w:dyaOrig="600">
          <v:shape id="_x0000_i1027" type="#_x0000_t75" style="width:45.75pt;height:30pt" o:ole="">
            <v:imagedata r:id="rId5" o:title=""/>
          </v:shape>
          <o:OLEObject Type="Embed" ProgID="Equation.3" ShapeID="_x0000_i1027" DrawAspect="Content" ObjectID="_1427202186" r:id="rId6"/>
        </w:object>
      </w:r>
      <w:r>
        <w:rPr>
          <w:rFonts w:ascii="Times New Roman" w:hAnsi="Times New Roman"/>
          <w:sz w:val="20"/>
        </w:rPr>
        <w:t xml:space="preserve">                                                    (1)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95"/>
        <w:gridCol w:w="420"/>
        <w:gridCol w:w="50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9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  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28" type="#_x0000_t75" style="width:18pt;height:18pt">
                  <v:imagedata r:id="rId7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предел прочности серии образцов на растяжение при изгибе, не погружавшихся в среду;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9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29" type="#_x0000_t75" style="width:17.25pt;height:18pt">
                  <v:imagedata r:id="rId8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06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предел прочности серии образцов на растяжение при изгибе после выдержки в среде в течение времени 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30" type="#_x0000_t75" style="width:9pt;height:11.25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сут.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6.4. Изменение массы образцов m после каждого срока испытания </w:t>
      </w:r>
      <w:r>
        <w:rPr>
          <w:rFonts w:ascii="Times New Roman" w:hAnsi="Times New Roman"/>
          <w:position w:val="-4"/>
          <w:sz w:val="20"/>
        </w:rPr>
        <w:pict>
          <v:shape id="_x0000_i1031" type="#_x0000_t75" style="width:21pt;height:12.75pt">
            <v:imagedata r:id="rId10" o:title=""/>
          </v:shape>
        </w:pict>
      </w:r>
      <w:r>
        <w:rPr>
          <w:rFonts w:ascii="Times New Roman" w:hAnsi="Times New Roman"/>
          <w:sz w:val="20"/>
        </w:rPr>
        <w:t xml:space="preserve"> в процентах вычисляют</w:t>
      </w:r>
      <w:r>
        <w:rPr>
          <w:rFonts w:ascii="Times New Roman" w:hAnsi="Times New Roman"/>
          <w:sz w:val="20"/>
        </w:rPr>
        <w:t xml:space="preserve"> по формуле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2" type="#_x0000_t75" style="width:264.75pt;height:32.25pt">
            <v:imagedata r:id="rId11" o:title=""/>
          </v:shape>
        </w:pict>
      </w:r>
    </w:p>
    <w:p w:rsidR="00000000" w:rsidRDefault="00B635D9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"/>
        <w:gridCol w:w="420"/>
        <w:gridCol w:w="51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  </w:t>
            </w: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3" type="#_x0000_t75" style="width:12.75pt;height:11.25pt">
                  <v:imagedata r:id="rId12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41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серии образцов до погружения в среду, г;</w:t>
            </w:r>
          </w:p>
          <w:p w:rsidR="00000000" w:rsidRDefault="00B635D9">
            <w:pPr>
              <w:ind w:firstLine="225"/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0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4" type="#_x0000_t75" style="width:18pt;height:17.25pt">
                  <v:imagedata r:id="rId13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41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 серии образцов после выдержки в среде, г.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jc w:val="right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Уменьшение массы образцов после выдержки в среде не должно превышать 1%. При уменьшении массы образцов более чем на 1% состав бетона относят к нестойким в данной среде независимо от результатов механических испытаний.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 Результаты полных и промежуточных испытаний заносят в журнал, который должен содержать: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испытываемого химически стойкого бетона, е</w:t>
      </w:r>
      <w:r>
        <w:rPr>
          <w:rFonts w:ascii="Times New Roman" w:hAnsi="Times New Roman"/>
          <w:sz w:val="20"/>
        </w:rPr>
        <w:t>го состав, способ и режим изготовления образцов;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температуру среды, срок выдерживания образцов в среде;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массу образцов до и после выдерживания в среде и изменение массы в процентах;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изменения поверхности образцов и внешнего вида в результате воздействия химической среды (наличие трещин, вздутий, раковин);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прочность при изгибе до и после выдержки образцов в среде и их изменения (коэффициент химической стойкости);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дату проведения испытаний (определение прочности на растяжение при изгибе и </w:t>
      </w:r>
      <w:r>
        <w:rPr>
          <w:rFonts w:ascii="Times New Roman" w:hAnsi="Times New Roman"/>
          <w:sz w:val="20"/>
        </w:rPr>
        <w:t>массы).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right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Справочное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Прогнозирование величины коэффициента химической</w:t>
      </w: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стойкости по результатам испытаний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Исходя из конкретных условий эксплуатации конструкций рассчитывают экономически целесообразный срок их службы. Принимают, что под действием агрессивной среды в течение этого срока допустимое снижение химической стойкости бетона в конструкции должно соответствовать величине С.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Для принятого периода эксплуатации химическая стойкость конструкции обеспечивается при условии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5" type="#_x0000_t75" style="width:263.25pt;height:18pt">
            <v:imagedata r:id="rId14" o:title=""/>
          </v:shape>
        </w:pict>
      </w:r>
    </w:p>
    <w:p w:rsidR="00000000" w:rsidRDefault="00B635D9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  <w:position w:val="-12"/>
        </w:rPr>
        <w:pict>
          <v:shape id="_x0000_i1036" type="#_x0000_t75" style="width:26.25pt;height:18pt">
            <v:imagedata r:id="rId4" o:title=""/>
          </v:shape>
        </w:pict>
      </w:r>
      <w:r>
        <w:rPr>
          <w:rFonts w:ascii="Times New Roman" w:hAnsi="Times New Roman"/>
        </w:rPr>
        <w:t xml:space="preserve"> -ко</w:t>
      </w:r>
      <w:r>
        <w:rPr>
          <w:rFonts w:ascii="Times New Roman" w:hAnsi="Times New Roman"/>
        </w:rPr>
        <w:t xml:space="preserve">эффициент химической стойкости, вычисленный путем </w:t>
      </w:r>
    </w:p>
    <w:p w:rsidR="00000000" w:rsidRDefault="00B635D9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потенциирования величины, полученной по формуле (2).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Для прогнозирования величины коэффициента химической стойкости </w:t>
      </w:r>
      <w:r>
        <w:rPr>
          <w:rFonts w:ascii="Times New Roman" w:hAnsi="Times New Roman"/>
          <w:position w:val="-12"/>
          <w:sz w:val="20"/>
        </w:rPr>
        <w:pict>
          <v:shape id="_x0000_i1037" type="#_x0000_t75" style="width:26.25pt;height:18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в течение принятого срока эксплуатации используют зависимость (при </w:t>
      </w:r>
      <w:r>
        <w:rPr>
          <w:rFonts w:ascii="Times New Roman" w:hAnsi="Times New Roman"/>
          <w:position w:val="-6"/>
          <w:sz w:val="20"/>
        </w:rPr>
        <w:pict>
          <v:shape id="_x0000_i1038" type="#_x0000_t75" style="width:35.25pt;height:14.25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сут)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9" type="#_x0000_t75" style="width:276pt;height:18pt">
            <v:imagedata r:id="rId16" o:title=""/>
          </v:shape>
        </w:pict>
      </w:r>
    </w:p>
    <w:p w:rsidR="00000000" w:rsidRDefault="00B635D9">
      <w:pPr>
        <w:jc w:val="right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420"/>
        <w:gridCol w:w="40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   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40" type="#_x0000_t75" style="width:36pt;height:18pt">
                  <v:imagedata r:id="rId17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1" type="#_x0000_t75" style="width:18.75pt;height:15.75pt">
                  <v:imagedata r:id="rId18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1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логарифмы коэффициента химической стойкости и принятого срока эксплуатации;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42" type="#_x0000_t75" style="width:9.75pt;height:12pt">
                  <v:imagedata r:id="rId1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43" type="#_x0000_t75" style="width:9.75pt;height:14.25pt">
                  <v:imagedata r:id="rId20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1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постоянные для данного вида полимербетона и данной среды коэффициенты.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jc w:val="right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Коэффициенты </w:t>
      </w:r>
      <w:r>
        <w:rPr>
          <w:rFonts w:ascii="Times New Roman" w:hAnsi="Times New Roman"/>
          <w:position w:val="-6"/>
          <w:sz w:val="20"/>
        </w:rPr>
        <w:pict>
          <v:shape id="_x0000_i1044" type="#_x0000_t75" style="width:9.75pt;height:12pt">
            <v:imagedata r:id="rId19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position w:val="-6"/>
          <w:sz w:val="20"/>
        </w:rPr>
        <w:pict>
          <v:shape id="_x0000_i1045" type="#_x0000_t75" style="width:9.75pt;height:14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уравнения (2) рассчитывают по результатам и</w:t>
      </w:r>
      <w:r>
        <w:rPr>
          <w:rFonts w:ascii="Times New Roman" w:hAnsi="Times New Roman"/>
          <w:sz w:val="20"/>
        </w:rPr>
        <w:t>спытаний по следующим формулам:</w:t>
      </w:r>
    </w:p>
    <w:p w:rsidR="00000000" w:rsidRDefault="00B635D9">
      <w:pPr>
        <w:ind w:firstLine="225"/>
        <w:jc w:val="right"/>
        <w:rPr>
          <w:rFonts w:ascii="Times New Roman" w:hAnsi="Times New Roman"/>
          <w:sz w:val="20"/>
        </w:rPr>
      </w:pPr>
    </w:p>
    <w:p w:rsidR="00000000" w:rsidRDefault="00B635D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6" type="#_x0000_t75" style="width:276pt;height:18.75pt">
            <v:imagedata r:id="rId21" o:title=""/>
          </v:shape>
        </w:pict>
      </w:r>
    </w:p>
    <w:p w:rsidR="00000000" w:rsidRDefault="00B635D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78"/>
          <w:sz w:val="20"/>
        </w:rPr>
        <w:pict>
          <v:shape id="_x0000_i1047" type="#_x0000_t75" style="width:315.75pt;height:84pt">
            <v:imagedata r:id="rId22" o:title=""/>
          </v:shape>
        </w:pict>
      </w: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5"/>
        <w:gridCol w:w="420"/>
        <w:gridCol w:w="3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где    </w:t>
            </w: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48" type="#_x0000_t75" style="width:105pt;height:57pt">
                  <v:imagedata r:id="rId23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6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средние значения логарифма коэффициента химической стойкости;</w:t>
            </w: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9" type="#_x0000_t75" style="width:4.5pt;height:8.25pt">
                  <v:imagedata r:id="rId24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24"/>
                <w:sz w:val="20"/>
              </w:rPr>
              <w:pict>
                <v:shape id="_x0000_i1050" type="#_x0000_t75" style="width:66.75pt;height:57pt">
                  <v:imagedata r:id="rId25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6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средние значения логарифма времени испытаний;</w:t>
            </w: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ind w:firstLine="225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6" w:type="dxa"/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6"/>
                <w:sz w:val="20"/>
              </w:rPr>
              <w:pict>
                <v:shape id="_x0000_i1051" type="#_x0000_t75" style="width:39.75pt;height:20.25pt">
                  <v:imagedata r:id="rId2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 и 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52" type="#_x0000_t75" style="width:21pt;height:17.25pt">
                  <v:imagedata r:id="rId27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6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соответственно логарифмы коэффициентов химической стойкости и времени испытаний в i-й серии образцов (промежуточных сроков, предусмотренных п. 5.5 настоящего стандарта);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5" w:type="dxa"/>
          </w:tcPr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53" type="#_x0000_t75" style="width:9.75pt;height:11.25pt">
                  <v:imagedata r:id="rId28" o:title=""/>
                </v:shape>
              </w:pict>
            </w:r>
          </w:p>
          <w:p w:rsidR="00000000" w:rsidRDefault="00B635D9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dxa"/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-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6" w:type="dxa"/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серий образцов, испытанных в промежуточные сроки.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jc w:val="center"/>
        <w:rPr>
          <w:rFonts w:ascii="Times New Roman" w:hAnsi="Times New Roman"/>
          <w:sz w:val="20"/>
        </w:rPr>
      </w:pP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прогнозирования величины коэффициента химической ст</w:t>
      </w:r>
      <w:r>
        <w:rPr>
          <w:rFonts w:ascii="Times New Roman" w:hAnsi="Times New Roman"/>
          <w:sz w:val="20"/>
        </w:rPr>
        <w:t>ойкости</w:t>
      </w:r>
    </w:p>
    <w:p w:rsidR="00000000" w:rsidRDefault="00B635D9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результатам годовых испытаний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испытаниях аглопоритополимербетона ФАМ в 10%-ной серной кислоте были получены следующие средние величины коэффициентов химической стойкости в принятые сроки испытаний, указанные в табл.1.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870"/>
        <w:gridCol w:w="780"/>
        <w:gridCol w:w="795"/>
        <w:gridCol w:w="915"/>
        <w:gridCol w:w="975"/>
        <w:gridCol w:w="8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испытания 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54" type="#_x0000_t75" style="width:12pt;height:17.25pt">
                  <v:imagedata r:id="rId2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сут 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химической стойкости </w: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6"/>
                <w:sz w:val="20"/>
              </w:rPr>
              <w:pict>
                <v:shape id="_x0000_i1055" type="#_x0000_t75" style="width:30pt;height:20.25pt">
                  <v:imagedata r:id="rId30" o:title=""/>
                </v:shape>
              </w:pict>
            </w:r>
          </w:p>
          <w:p w:rsidR="00000000" w:rsidRDefault="00B635D9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0,85 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0,72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0,69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Коэффициенты </w:t>
      </w:r>
      <w:r>
        <w:rPr>
          <w:rFonts w:ascii="Times New Roman" w:hAnsi="Times New Roman"/>
          <w:position w:val="-6"/>
          <w:sz w:val="20"/>
        </w:rPr>
        <w:pict>
          <v:shape id="_x0000_i1056" type="#_x0000_t75" style="width:9.75pt;height:12pt">
            <v:imagedata r:id="rId19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position w:val="-6"/>
          <w:sz w:val="20"/>
        </w:rPr>
        <w:pict>
          <v:shape id="_x0000_i1057" type="#_x0000_t75" style="width:9.75pt;height:14.25pt">
            <v:imagedata r:id="rId20" o:title=""/>
          </v:shape>
        </w:pict>
      </w:r>
      <w:r>
        <w:rPr>
          <w:rFonts w:ascii="Times New Roman" w:hAnsi="Times New Roman"/>
          <w:sz w:val="20"/>
        </w:rPr>
        <w:t xml:space="preserve"> уравнения (2) рассчитывают, подставляя данные в табл. 2 в формулы (3) и (4). Все промежуточные </w:t>
      </w:r>
      <w:r>
        <w:rPr>
          <w:rFonts w:ascii="Times New Roman" w:hAnsi="Times New Roman"/>
          <w:sz w:val="20"/>
        </w:rPr>
        <w:t>значения величин для подсчета коэффициентов приведены в табл. 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Искомая зависимость описывается уравнением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8" type="#_x0000_t75" style="width:303pt;height:18pt">
            <v:imagedata r:id="rId31" o:title=""/>
          </v:shape>
        </w:pic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Экономически целесообразный срок службы конструкции примем равным </w:t>
      </w:r>
      <w:r>
        <w:rPr>
          <w:rFonts w:ascii="Times New Roman" w:hAnsi="Times New Roman"/>
          <w:position w:val="-6"/>
          <w:sz w:val="20"/>
        </w:rPr>
        <w:pict>
          <v:shape id="_x0000_i1059" type="#_x0000_t75" style="width:33.75pt;height:14.25pt">
            <v:imagedata r:id="rId32" o:title=""/>
          </v:shape>
        </w:pict>
      </w:r>
      <w:r>
        <w:rPr>
          <w:rFonts w:ascii="Times New Roman" w:hAnsi="Times New Roman"/>
          <w:sz w:val="20"/>
        </w:rPr>
        <w:t xml:space="preserve"> лет, при этом допустимое снижение прочности за 10 лет (3600 сут.) примем равным С = 0,5.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Определяем коэффициент химической стойкости за принятый срок эксплуатации конструкции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0" type="#_x0000_t75" style="width:5in;height:18pt">
            <v:imagedata r:id="rId33" o:title=""/>
          </v:shape>
        </w:pic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тогда </w:t>
      </w:r>
      <w:r>
        <w:rPr>
          <w:rFonts w:ascii="Times New Roman" w:hAnsi="Times New Roman"/>
          <w:position w:val="-16"/>
          <w:sz w:val="20"/>
        </w:rPr>
        <w:pict>
          <v:shape id="_x0000_i1061" type="#_x0000_t75" style="width:30pt;height:20.25pt">
            <v:imagedata r:id="rId30" o:title=""/>
          </v:shape>
        </w:pict>
      </w:r>
      <w:r>
        <w:rPr>
          <w:rFonts w:ascii="Times New Roman" w:hAnsi="Times New Roman"/>
          <w:sz w:val="20"/>
        </w:rPr>
        <w:t>= 0,52.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Подставляем полученные результаты в формулу (1)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2" type="#_x0000_t75" style="width:273pt;height:17.25pt">
            <v:imagedata r:id="rId34" o:title=""/>
          </v:shape>
        </w:pic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Таким образом расчет показывает, что для принятого периода эксплуатации коэффициент х</w:t>
      </w:r>
      <w:r>
        <w:rPr>
          <w:rFonts w:ascii="Times New Roman" w:hAnsi="Times New Roman"/>
          <w:sz w:val="20"/>
        </w:rPr>
        <w:t>имической стойкости полимербетонных конструкций выше минимально допустимого.</w: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2 </w:t>
      </w: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p w:rsidR="00000000" w:rsidRDefault="00B635D9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675"/>
        <w:gridCol w:w="1065"/>
        <w:gridCol w:w="1905"/>
        <w:gridCol w:w="1170"/>
        <w:gridCol w:w="2145"/>
        <w:gridCol w:w="14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Но- мер се- рии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3" type="#_x0000_t75" style="width:21pt;height:17.25pt">
                  <v:imagedata r:id="rId27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6"/>
                <w:sz w:val="20"/>
              </w:rPr>
              <w:pict>
                <v:shape id="_x0000_i1064" type="#_x0000_t75" style="width:39.75pt;height:20.25pt">
                  <v:imagedata r:id="rId26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6"/>
                <w:sz w:val="20"/>
              </w:rPr>
              <w:pict>
                <v:shape id="_x0000_i1065" type="#_x0000_t75" style="width:84.75pt;height:21.75pt">
                  <v:imagedata r:id="rId35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6" type="#_x0000_t75" style="width:48pt;height:18.75pt">
                  <v:imagedata r:id="rId36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31"/>
                <w:sz w:val="20"/>
              </w:rPr>
              <w:pict>
                <v:shape id="_x0000_i1067" type="#_x0000_t75" style="width:96.75pt;height:38.25pt">
                  <v:imagedata r:id="rId37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8" type="#_x0000_t75" style="width:62.25pt;height:24pt">
                  <v:imagedata r:id="rId38" o:title=""/>
                </v:shape>
              </w:pic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1,48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- 0,070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- 0,054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0,595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- 0,0321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0,3540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1,78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- 0,097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- 0,027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0,295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- 0,0080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0,0870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1,95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- 0,108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- 0,016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0,125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- 0,0020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0,0156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2,25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- 0,143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0,019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- 0,175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- 0,0133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0,0306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2,43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- 0,161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0,037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- 0,355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- 0,0131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0,0126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2,56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- 0,167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0,043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- 0,485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</w:t>
            </w:r>
            <w:r>
              <w:rPr>
                <w:rFonts w:ascii="Times New Roman" w:hAnsi="Times New Roman"/>
                <w:sz w:val="20"/>
              </w:rPr>
              <w:t xml:space="preserve">0210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0,2350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Сум- мы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12,45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- 0,746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- 0,0795 </w:t>
            </w:r>
          </w:p>
          <w:p w:rsidR="00000000" w:rsidRDefault="00B635D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0,7348 </w:t>
            </w:r>
          </w:p>
          <w:p w:rsidR="00000000" w:rsidRDefault="00B635D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B635D9">
      <w:pPr>
        <w:ind w:firstLine="67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45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9" type="#_x0000_t75" style="width:60pt;height:18.75pt">
            <v:imagedata r:id="rId39" o:title=""/>
          </v:shape>
        </w:pic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70" type="#_x0000_t75" style="width:84.75pt;height:18.75pt">
            <v:imagedata r:id="rId40" o:title=""/>
          </v:shape>
        </w:pict>
      </w: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635D9">
      <w:pPr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4536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5D9"/>
    <w:rsid w:val="00B6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webSettings" Target="web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1885</Words>
  <Characters>10748</Characters>
  <Application>Microsoft Office Word</Application>
  <DocSecurity>0</DocSecurity>
  <Lines>89</Lines>
  <Paragraphs>25</Paragraphs>
  <ScaleCrop>false</ScaleCrop>
  <Company>Elcom Ltd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25881-83</dc:title>
  <dc:subject/>
  <dc:creator>CNTI</dc:creator>
  <cp:keywords/>
  <dc:description/>
  <cp:lastModifiedBy>Parhomeiai</cp:lastModifiedBy>
  <cp:revision>2</cp:revision>
  <dcterms:created xsi:type="dcterms:W3CDTF">2013-04-11T11:01:00Z</dcterms:created>
  <dcterms:modified xsi:type="dcterms:W3CDTF">2013-04-11T11:01:00Z</dcterms:modified>
</cp:coreProperties>
</file>