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26804-86</w:t>
      </w: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УДК 69.028.8:621.778.8:006.354                                                                                       Группа Ж34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ГОСУДАРСТВЕННЫЙ  СТАНДАРТ СОЮЗА ССР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ОГРАЖДЕНИЯ ДОРОЖНЫЕ МЕТАЛЛИЧЕСКИЕ БАРЬЕРНОГО ТИПА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</w:t>
      </w:r>
      <w:r>
        <w:rPr>
          <w:rFonts w:ascii="Times New Roman" w:hAnsi="Times New Roman"/>
          <w:sz w:val="20"/>
        </w:rPr>
        <w:t xml:space="preserve">tal road safety barriers. Specifications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1987-01-01 </w:t>
      </w: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 52 1624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постановлением Государственного комитета СССР по делам строительства от 19 декабря 1985 г. № 242, срок введения установлен 01.01.87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ВНЕСЕНА  поправка, опубликованная в ИУС № 11 1996 г.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 Сентябрь 1996 г.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металлические боковые ограждения барьерного типа (далее - ограждения), предназначенные для автомобильных дорог общего пользования.</w:t>
      </w:r>
    </w:p>
    <w:p w:rsidR="00000000" w:rsidRDefault="00AC797D">
      <w:pPr>
        <w:widowControl/>
        <w:ind w:firstLine="450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450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ОСНОВНЫЕ ПАРАМЕТРЫ И РАЗ</w:t>
      </w:r>
      <w:r>
        <w:rPr>
          <w:rFonts w:ascii="Times New Roman" w:hAnsi="Times New Roman"/>
          <w:sz w:val="20"/>
        </w:rPr>
        <w:t xml:space="preserve">МЕРЫ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По назначению ограждения подразделяются на группы: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11ДО - дорожные односторонние (черт. 1,2);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11ДД -        "        двусторонние (черт. 3,4);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11МО - мостовые односторонние (черт. 5,6);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11МД -        "        двусторонние (черт. 7,8).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Ограждения групп 11ДО и 11ДД состоят из участков: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11ДО-Н, 11ДД-Н - начальные участки;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11ДО-S, 11ДД-S - рабочие участки с шагом стоек S, м;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11ДД-SП - переходный участок с шагом стоек S, м;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11ДО-К - конечный участок.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 пределах участка 11ДО-Н осущест</w:t>
      </w:r>
      <w:r>
        <w:rPr>
          <w:rFonts w:ascii="Times New Roman" w:hAnsi="Times New Roman"/>
          <w:sz w:val="20"/>
        </w:rPr>
        <w:t>вляется отгон ограждения к бровке земляного полотна (оси разделительной полосы) дороги.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Ограждения групп 11МО и 11МД состоят только из рабочих участков 11MO-S и 11МД-S. Стойки ограждения 11MO-SЦ устанавливают на цоколе.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Конструктивные элементы ограждений: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СБ - секция балки (черт. 9);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СД - стойка дорожная (черт. 10);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СМ - стойка мостовая (черт. 10);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СМЦ - стойка мостовая на цоколе (черт. 10).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Ограждение группы 11 ДО. Общий вид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6045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41.75pt" o:ole="">
            <v:imagedata r:id="rId4" o:title=""/>
          </v:shape>
          <o:OLEObject Type="Embed" ProgID="MSPhotoEd.3" ShapeID="_x0000_i1025" DrawAspect="Content" ObjectID="_1427200530" r:id="rId5"/>
        </w:obje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балка; 2 - стойка; 3 - консоль</w:t>
      </w:r>
      <w:r>
        <w:rPr>
          <w:rFonts w:ascii="Times New Roman" w:hAnsi="Times New Roman"/>
          <w:sz w:val="20"/>
        </w:rPr>
        <w:t xml:space="preserve"> жесткая; 4 - связь диагональная;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5 - элемент световозвращающий; 6 - элемент концевой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Ограждение группы 11ДО. Детали соединения балки со стойкой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4in;height:169.5pt">
            <v:imagedata r:id="rId6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балка; 2 - стойка; 3 - консоль-жесткая; 4 - болт М16 х 45.58 ГОСТ 7802-81;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5 - болт M10 х 1,25-8g х 30.58 ГОСТ 7796-70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2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Ограждение группы 11ДД. Общий вид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378.75pt;height:152.25pt">
            <v:imagedata r:id="rId7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балка; 2 - стойка; 3 - консоль-распорка; 4 - элемент световозвращающий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3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Ограждение группы 11ДД. Детали соединения балок со стойкой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268.5pt;height:153.75pt">
            <v:imagedata r:id="rId8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1- балка; 2 - стойка; 3 - консо</w:t>
      </w:r>
      <w:r>
        <w:rPr>
          <w:rFonts w:ascii="Times New Roman" w:hAnsi="Times New Roman"/>
          <w:sz w:val="20"/>
        </w:rPr>
        <w:t xml:space="preserve">ль-распорка; 4 - скоба; 5 - болт М16х45.58 ГОСТ 7802-81;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6 - болт М16х1,5-8g х 30.58 ГОСТ 7798-70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Черт.4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Ограждение группы 11МО. Общий вид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394.5pt;height:133.5pt">
            <v:imagedata r:id="rId9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балка; 2 - стойка; 3 - консоль-амортизатор; 4 - элемент световозвращающий;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5 - строение пролетное; 6 - цоколь; 7 - шов деформационный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5     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Ограждение группы 11 МО. Детали соединения балки со стойкой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0" type="#_x0000_t75" style="width:236.25pt;height:202.5pt">
            <v:imagedata r:id="rId10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балка; 2 - стойка; 3 - консоль-амортизатор;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4 - болт М16х1,5-8gх30.58 ГОСТ 7798-70; 5 - болт М16х45.58 ГОСТ 7802-81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6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Ограждение груп</w:t>
      </w:r>
      <w:r>
        <w:rPr>
          <w:rFonts w:ascii="Times New Roman" w:hAnsi="Times New Roman"/>
          <w:sz w:val="20"/>
        </w:rPr>
        <w:t xml:space="preserve">пы 11МД. Общий вид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1" type="#_x0000_t75" style="width:285pt;height:91.5pt">
            <v:imagedata r:id="rId11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балка; 2 - стойка; 3 - элемент световозвращающий; 4 - строение пролетное;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5 - шов деформационный; 6 - консоль-амортизатор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7 </w:t>
      </w: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Ограждения группы 11 МД. Детали соединения балок со стойкой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2" type="#_x0000_t75" style="width:221.25pt;height:240pt">
            <v:imagedata r:id="rId12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балка; 2 - стойка; 3 - консоль-амортизатор; 4 - болт М16х45.58 ГОСТ 7802-81;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5 - болт М16х1,5-8g х 30.58 ГОСТ 7798-70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8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КЖ - консоль жесткая (черт. 11);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 - консоль-распорка (черт. 11);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 - консоль-амортизатор (черт. 11);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СДД - связь диагональная дорожная (черт. 12);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-</w:t>
      </w:r>
      <w:r>
        <w:rPr>
          <w:rFonts w:ascii="Times New Roman" w:hAnsi="Times New Roman"/>
          <w:sz w:val="20"/>
        </w:rPr>
        <w:t xml:space="preserve"> скоба (черт. 13);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ЭК - элемент концевой (черт. 14);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ЭС - элемент световозвращающий.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Секции балки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3" type="#_x0000_t75" style="width:249pt;height:117.75pt">
            <v:imagedata r:id="rId13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4" type="#_x0000_t75" style="width:250.5pt;height:114pt">
            <v:imagedata r:id="rId14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5" type="#_x0000_t75" style="width:246.75pt;height:107.25pt">
            <v:imagedata r:id="rId15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9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Стойки дорожные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6" type="#_x0000_t75" style="width:176.25pt;height:235.5pt">
            <v:imagedata r:id="rId16" o:title=""/>
          </v:shape>
        </w:pic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Стойки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7" type="#_x0000_t75" style="width:117.75pt;height:210pt">
            <v:imagedata r:id="rId17" o:title=""/>
          </v:shape>
        </w:pic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Стойки мостовые     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8" type="#_x0000_t75" style="width:105pt;height:192.75pt">
            <v:imagedata r:id="rId18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10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Консоли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9" type="#_x0000_t75" style="width:186pt;height:140.25pt">
            <v:imagedata r:id="rId19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0" type="#_x0000_t75" style="width:169.5pt;height:169.5pt">
            <v:imagedata r:id="rId20" o:title=""/>
          </v:shape>
        </w:pic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1" type="#_x0000_t75" style="width:255pt;height:97.5pt">
            <v:imagedata r:id="rId21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11 </w:t>
      </w: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Связь диагональная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2" type="#_x0000_t75" style="width:304.5pt;height:169.5pt">
            <v:imagedata r:id="rId22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12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Скоба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173.25pt;height:150.75pt">
            <v:imagedata r:id="rId23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13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Элемент концевой </w: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4" type="#_x0000_t75" style="width:181.5pt;height:135.75pt">
            <v:imagedata r:id="rId24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5" type="#_x0000_t75" style="width:183.75pt;height:114pt">
            <v:imagedata r:id="rId25" o:title=""/>
          </v:shape>
        </w:pict>
      </w:r>
    </w:p>
    <w:p w:rsidR="00000000" w:rsidRDefault="00AC797D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14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Высота ограждения всех групп в пределах рабочих участков - 0,75 мм.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 пределах участка 11ДД-Н осуществляется понижение ограждения до уровня поверхности разделительной полосы.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1.6. Осн</w:t>
      </w:r>
      <w:r>
        <w:rPr>
          <w:rFonts w:ascii="Times New Roman" w:hAnsi="Times New Roman"/>
          <w:sz w:val="20"/>
        </w:rPr>
        <w:t>овные параметры и размеры ограждений должны соответствовать указанным на черт. 1-14 и в табл. 1, 2.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665"/>
        <w:gridCol w:w="1635"/>
        <w:gridCol w:w="1635"/>
        <w:gridCol w:w="15"/>
        <w:gridCol w:w="1590"/>
        <w:gridCol w:w="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участка 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Размеры, м 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(справочная),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ограждения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b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Шаг стоек S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кг/м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11ДО-4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0,36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4,00 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11ДО-3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0,36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3,00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11ДО-2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0,36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2,00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11ДО-1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0,36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1,00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11ДД-4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4,00 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11ДД-2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2,00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11MO-S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0,41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 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11МО-SЦ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0,41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11МД-S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0,69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 </w:t>
            </w:r>
          </w:p>
        </w:tc>
        <w:tc>
          <w:tcPr>
            <w:tcW w:w="16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 ограждениях групп 11 МО и 11МД шаг стоек S в соответствии с условиями расп</w:t>
      </w:r>
      <w:r>
        <w:rPr>
          <w:rFonts w:ascii="Times New Roman" w:hAnsi="Times New Roman"/>
          <w:sz w:val="20"/>
        </w:rPr>
        <w:t>оложения закладных деталей в пролетных строениях принимается в интервале 2-3 м; справочная масса дана для конструкций ограждений с шагом 3 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  2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665"/>
        <w:gridCol w:w="1665"/>
        <w:gridCol w:w="1635"/>
        <w:gridCol w:w="16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участка </w:t>
            </w: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Размеры, м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ограждения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b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Шаг стоек S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(справочная), кг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11ДО-Н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0,36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2,00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11ДО-К 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0,36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2,00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11ДД-Н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2,00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11ДД-4П </w:t>
            </w:r>
          </w:p>
        </w:tc>
        <w:tc>
          <w:tcPr>
            <w:tcW w:w="16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0,75-0,95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4,00 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11ДД-2П 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0,75-0,95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2,00 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177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1.7. Размеры секций балки должны соответствовать приведенным на черт. 9 и в табл. 3.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  3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05"/>
        <w:gridCol w:w="1320"/>
        <w:gridCol w:w="13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секции </w:t>
            </w:r>
          </w:p>
        </w:tc>
        <w:tc>
          <w:tcPr>
            <w:tcW w:w="5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Размеры, </w:t>
            </w:r>
            <w:r>
              <w:rPr>
                <w:rFonts w:ascii="Times New Roman" w:hAnsi="Times New Roman"/>
                <w:sz w:val="20"/>
              </w:rPr>
              <w:t xml:space="preserve">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балки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46" type="#_x0000_t75" style="width:1.5pt;height:1.5pt">
                  <v:imagedata r:id="rId26" o:title=""/>
                </v:shape>
              </w:pic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vertAlign w:val="subscript"/>
              </w:rPr>
              <w:t>сб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en-US"/>
              </w:rPr>
              <w:t>R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en-US"/>
              </w:rPr>
              <w:t>h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</w:t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СБ-1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4320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СБ-2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6320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СБ-З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8320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СБ-4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9320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СБ-5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6320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60000 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</w:p>
        </w:tc>
        <w:tc>
          <w:tcPr>
            <w:tcW w:w="13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СБ-6 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6320 </w:t>
            </w: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60000 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1.8. Размеры стоек должны соответствовать приведенным на черт. 10 и в табл. 4.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4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100"/>
        <w:gridCol w:w="2205"/>
        <w:gridCol w:w="22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участка ограждения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стойки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стойки,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11ДО-S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СД-1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11ДО-Н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СД-2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11ДО-К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СД-2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11ДД-S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СД-З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11ДД-Н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СД-З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1ДД-SП </w:t>
            </w:r>
          </w:p>
        </w:tc>
        <w:tc>
          <w:tcPr>
            <w:tcW w:w="2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СД-З </w:t>
            </w:r>
          </w:p>
        </w:tc>
        <w:tc>
          <w:tcPr>
            <w:tcW w:w="2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11MO-S; 11МД-S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11МО-SЦ </w:t>
            </w:r>
          </w:p>
        </w:tc>
        <w:tc>
          <w:tcPr>
            <w:tcW w:w="2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СМЦ </w:t>
            </w:r>
          </w:p>
        </w:tc>
        <w:tc>
          <w:tcPr>
            <w:tcW w:w="2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600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1.9. Размеры консолей должны соответств</w:t>
      </w:r>
      <w:r>
        <w:rPr>
          <w:rFonts w:ascii="Times New Roman" w:hAnsi="Times New Roman"/>
          <w:sz w:val="20"/>
        </w:rPr>
        <w:t xml:space="preserve">овать приведенным на черт. 11 и в табл. 5.  </w:t>
      </w: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5</w:t>
      </w: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20"/>
        <w:gridCol w:w="2205"/>
        <w:gridCol w:w="22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Группа ограждения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консоли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консоли,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КЖ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КР-1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КР-2 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КР-З </w:t>
            </w:r>
          </w:p>
        </w:tc>
        <w:tc>
          <w:tcPr>
            <w:tcW w:w="2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МО; 11МД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1.10. Размеры диагональной связи СДД для участков ограждения марок 11ДО-Н и 11ДО-К: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расстояние между центрами отверстий наконечников - 3050 мм;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площадь сечения стержня - 0,8 см</w:t>
      </w:r>
      <w:r>
        <w:rPr>
          <w:rFonts w:ascii="Times New Roman" w:hAnsi="Times New Roman"/>
          <w:sz w:val="20"/>
          <w:vertAlign w:val="superscript"/>
          <w:lang w:val="en-US"/>
        </w:rPr>
        <w:t>2</w:t>
      </w:r>
      <w:r>
        <w:rPr>
          <w:rFonts w:ascii="Times New Roman" w:hAnsi="Times New Roman"/>
          <w:sz w:val="20"/>
        </w:rPr>
        <w:t>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1.11. Размеры скобы должны соответствовать приведенным на черт. 13.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1.12. Размеры концевых элементов должны соответствовать приведенны</w:t>
      </w:r>
      <w:r>
        <w:rPr>
          <w:rFonts w:ascii="Times New Roman" w:hAnsi="Times New Roman"/>
          <w:sz w:val="20"/>
        </w:rPr>
        <w:t>м на черт. 14 и в табл. 6.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6</w:t>
      </w: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5"/>
        <w:gridCol w:w="2574"/>
        <w:gridCol w:w="1275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участка ограждения 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Марка концевого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Размер, мм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элемента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11ДО-Н </w:t>
            </w:r>
          </w:p>
        </w:tc>
        <w:tc>
          <w:tcPr>
            <w:tcW w:w="257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ЭК-2 </w:t>
            </w:r>
          </w:p>
        </w:tc>
        <w:tc>
          <w:tcPr>
            <w:tcW w:w="1275" w:type="dxa"/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11ДО-К </w:t>
            </w:r>
          </w:p>
        </w:tc>
        <w:tc>
          <w:tcPr>
            <w:tcW w:w="2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ЭК-1 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1.13. Условные обозначения марки ограждения принимают в соответствии со схемой: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0"/>
        <w:gridCol w:w="230"/>
        <w:gridCol w:w="135"/>
        <w:gridCol w:w="180"/>
        <w:gridCol w:w="285"/>
        <w:gridCol w:w="150"/>
        <w:gridCol w:w="411"/>
        <w:gridCol w:w="230"/>
        <w:gridCol w:w="173"/>
        <w:gridCol w:w="290"/>
        <w:gridCol w:w="252"/>
        <w:gridCol w:w="189"/>
        <w:gridCol w:w="284"/>
        <w:gridCol w:w="277"/>
        <w:gridCol w:w="171"/>
        <w:gridCol w:w="128"/>
        <w:gridCol w:w="252"/>
        <w:gridCol w:w="306"/>
        <w:gridCol w:w="142"/>
        <w:gridCol w:w="38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10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85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ХХ </w:t>
            </w:r>
          </w:p>
        </w:tc>
        <w:tc>
          <w:tcPr>
            <w:tcW w:w="230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Х </w:t>
            </w:r>
          </w:p>
        </w:tc>
        <w:tc>
          <w:tcPr>
            <w:tcW w:w="252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473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 </w:t>
            </w:r>
          </w:p>
        </w:tc>
        <w:tc>
          <w:tcPr>
            <w:tcW w:w="448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</w:p>
        </w:tc>
        <w:tc>
          <w:tcPr>
            <w:tcW w:w="380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 </w:t>
            </w:r>
          </w:p>
        </w:tc>
        <w:tc>
          <w:tcPr>
            <w:tcW w:w="448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827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03" w:type="dxa"/>
            <w:gridSpan w:val="2"/>
            <w:tcBorders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3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99" w:type="dxa"/>
            <w:gridSpan w:val="2"/>
            <w:tcBorders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  <w:lang w:val="en-US"/>
              </w:rPr>
            </w:pPr>
          </w:p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Класс ограждения (1-боковое)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ограждения (1-барьерного типа)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1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  <w:lang w:val="en-US"/>
              </w:rPr>
            </w:pPr>
          </w:p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ограждений (п. 1.1)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1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1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03" w:type="dxa"/>
            <w:gridSpan w:val="2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Шаг стоек рабочего участка (табл. 1) или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1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1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03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3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буквенное обозначение начального (Н), конечного (К) участка (п. 1.2)</w:t>
            </w:r>
          </w:p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Дополнительные данные (П - переходный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1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1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03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31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участок; Ц - установка стоек на цоколе)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15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1" w:type="dxa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03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31" w:type="dxa"/>
            <w:gridSpan w:val="3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1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Обозначение настоящего стандарта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Пример  условного  обозначения марки ограждения бокового барьерного типа дорожного одностороннего с шагом стоек 3 м: </w:t>
      </w:r>
    </w:p>
    <w:p w:rsidR="00000000" w:rsidRDefault="00AC797D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11ДО-3 ГОСТ 26804-86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начального участка ограждения бокового барьерного типа дорожного одностороннего:</w:t>
      </w:r>
    </w:p>
    <w:p w:rsidR="00000000" w:rsidRDefault="00AC797D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11ДО-Н ГОСТ 26804-86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переходн</w:t>
      </w:r>
      <w:r>
        <w:rPr>
          <w:rFonts w:ascii="Times New Roman" w:hAnsi="Times New Roman"/>
          <w:sz w:val="20"/>
        </w:rPr>
        <w:t>ого участка ограждения бокового барьерного типа дорожного двустороннего с шагом стоек 2 м:</w:t>
      </w:r>
    </w:p>
    <w:p w:rsidR="00000000" w:rsidRDefault="00AC797D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11ДД-2П ГОСТ 26804-86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ограждения бокового барьерного типа мостового одностороннего со стойками на  цоколе:</w:t>
      </w:r>
    </w:p>
    <w:p w:rsidR="00000000" w:rsidRDefault="00AC797D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11МО-3Ц  ГОСТ 26804-86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Выбор марки ограждения и места его установки следует выполнить в соответствии со СНиП 2.05.02-85 и СНиП 2.05.03-84.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Ограждение следует изготовлять в соответствии с требованиями настоящего стандарта по рабочим чертежам, утвержденным в установле</w:t>
      </w:r>
      <w:r>
        <w:rPr>
          <w:rFonts w:ascii="Times New Roman" w:hAnsi="Times New Roman"/>
          <w:sz w:val="20"/>
        </w:rPr>
        <w:t>нном порядке.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Секции балки и концевые элементы следует изготовлять из стального гнутого профиля с размерами 312х83х4 мм по ТУ 14-2-341-78 Минчермета СССР. Марка стали ВСт3пс, ВСт3кп по ГОСТ 380-88.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 ограждениях групп 11ДО и 11ДД допускается применять балку из профиля той же конфигурации с размерами 312х83х3 мм, изготовленную из листовой стали по ГОСТ 19903-74, марка стали ВСт3пс, ВСт3кп по ГОСТ 380-88, шаг стоек ограждения - не более 2 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2.4. Секции балки СБ-5 и СБ-6, предназначенные для </w:t>
      </w:r>
      <w:r>
        <w:rPr>
          <w:rFonts w:ascii="Times New Roman" w:hAnsi="Times New Roman"/>
          <w:sz w:val="20"/>
        </w:rPr>
        <w:t>участка 11ДО-Н, должны иметь кривизну 60000 мм. При этом высота профиля балки может быть уменьшена до 60 мм.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Размеры отверстий по концам секций балки, предназначенные для соединения соседних секций между собой, следует принимать из расчета допустимого смещения секций не более чем на 10 мм.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В местах расположения деформационных швов пролетных строений мостов (путепроводов) соединение секций балки следует снабжать устройством индивидуальной проектировки, обеспечивающим свободное перемещение со</w:t>
      </w:r>
      <w:r>
        <w:rPr>
          <w:rFonts w:ascii="Times New Roman" w:hAnsi="Times New Roman"/>
          <w:sz w:val="20"/>
        </w:rPr>
        <w:t>прягаемых секций на величину перемещения в деформационном шве.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Стойки СД-1 и СД-2 следует изготовлять из швеллера № 12 по ГОСТ 8240-89, или С-образного гнутого профиля 120х55х18х5 мм по ГОСТ 8282-83. Марка стали ВСт3 по ГОСТ 380-88.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Стойки СД-3 и консоли-распорки  КР-1, КР-2 и КР-3 следует изготовлять из швеллера № 10 по ГОСТ 8240-89. Марка стали всех стоек и распорок - ВСт3пс, ВСт3сп по ГОСТ 380-88. Петлю консоли-распорки следует изготовлять из стали угловой неравнополочной 63х40х5 мм по ГОСТ 8510-86.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Стойки мостовых ограждений следует изготовлять из двутавра № 12 по ГОСТ 8239-89. Фланцы стоек следует изготовлять из листовой стали толщиной 20 мм по ГОСТ 14637-89, марка стали ВСт3пс, ВСт3сп по ГОСТ 380-88.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Заднюю стенку консоли жесткой следует изготовлять из листовой стали толщиной 3 мм по ГОСТ 19903-74. Марка стали ВСт3 по ГОСТ 380-88. Диаметр отверстия под болт крепления к стойке 11+0,1 мм. Применение холоднокатаной или качественной стали не допускается.</w:t>
      </w:r>
    </w:p>
    <w:p w:rsidR="00000000" w:rsidRDefault="00AC797D">
      <w:pPr>
        <w:widowControl/>
        <w:ind w:firstLine="2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Переднюю стенку и проставку жестк</w:t>
      </w:r>
      <w:r>
        <w:rPr>
          <w:rFonts w:ascii="Times New Roman" w:hAnsi="Times New Roman"/>
          <w:sz w:val="20"/>
        </w:rPr>
        <w:t>ой консоли, консоль-амортизатор и скобу следует изготовлять из листовой стали толщиной 4 мм по ГОСТ 19903-74. Марка стали ВСт3 по ГОСТ 380-88.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2.10. Стержень диагональной связи следует изготовлять из круглой стали по ГОСТ 2590-88. Марка стали - ВСт3 по ГОСТ 380-88. Сечение стержня - 0,8 см</w:t>
      </w:r>
      <w:r>
        <w:rPr>
          <w:rFonts w:ascii="Times New Roman" w:hAnsi="Times New Roman"/>
          <w:sz w:val="20"/>
          <w:vertAlign w:val="superscript"/>
          <w:lang w:val="en-US"/>
        </w:rPr>
        <w:t>2</w:t>
      </w:r>
      <w:r>
        <w:rPr>
          <w:rFonts w:ascii="Times New Roman" w:hAnsi="Times New Roman"/>
          <w:sz w:val="20"/>
        </w:rPr>
        <w:t>. Наконечники диагональной связи следует изготовлять из стали той же марки толщиной 5 мм по ГОСТ 19903-74.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2.11. Для соединения секций балки между собой, с консолями и диагональными связями следует применять болты М16х45 </w:t>
      </w:r>
      <w:r>
        <w:rPr>
          <w:rFonts w:ascii="Times New Roman" w:hAnsi="Times New Roman"/>
          <w:sz w:val="20"/>
        </w:rPr>
        <w:t>с полукруглой головкой и квадратным подголовником по ГОСТ 7802-81.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2.12. Для соединения жестких консолей со стойками следует применять болты М10х30 класс прочности 5.8 по ГОСТ 7796-70 с уменьшенной шестигранной головкой под ключ 14. Применение других болтов не допускается.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2.13. Для крепления стоек мостовых ограждений следует применять болты М20х70 по ГОСТ 7798-70.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2.14. Все сварные соединения консолей, стоек и диагональных связей следует выполнять согласно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СНиП III-18-75.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2.15. Все основные и вспомогательн</w:t>
      </w:r>
      <w:r>
        <w:rPr>
          <w:rFonts w:ascii="Times New Roman" w:hAnsi="Times New Roman"/>
          <w:sz w:val="20"/>
        </w:rPr>
        <w:t xml:space="preserve">ые элементы ограждений должны быть защищены от коррозии в соответствии со СНиП II-28-73.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2.16. Предельные отклонения размеров деталей ограждений - </w:t>
      </w:r>
      <w:r>
        <w:rPr>
          <w:rFonts w:ascii="Times New Roman" w:hAnsi="Times New Roman"/>
          <w:sz w:val="20"/>
        </w:rPr>
        <w:pict>
          <v:shape id="_x0000_i1047" type="#_x0000_t75" style="width:34.5pt;height:27.75pt">
            <v:imagedata r:id="rId27" o:title=""/>
          </v:shape>
        </w:pict>
      </w:r>
      <w:r>
        <w:rPr>
          <w:rFonts w:ascii="Times New Roman" w:hAnsi="Times New Roman"/>
          <w:sz w:val="20"/>
        </w:rPr>
        <w:t xml:space="preserve"> по ГОСТ 25347-82; отклонения секций балки СБ-1</w:t>
      </w:r>
      <w:r>
        <w:rPr>
          <w:rFonts w:ascii="Times New Roman" w:hAnsi="Times New Roman"/>
          <w:sz w:val="20"/>
        </w:rPr>
        <w:pict>
          <v:shape id="_x0000_i1048" type="#_x0000_t75" style="width:9pt;height:9pt">
            <v:imagedata r:id="rId28" o:title=""/>
          </v:shape>
        </w:pict>
      </w:r>
      <w:r>
        <w:rPr>
          <w:rFonts w:ascii="Times New Roman" w:hAnsi="Times New Roman"/>
          <w:sz w:val="20"/>
        </w:rPr>
        <w:t xml:space="preserve"> СБ-4 от прямолинейности не должно превышать 3 мм на длине 1000 мм.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КОМПЛЕКТНОСТЬ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Ограждение каждой марки должно поставляться предприятием-изготовителем комплектно. В состав комплекта ограждения должны входить элементы, указанные в п. 1.4, а также крепежные изделия и паспорт ограждения. Комплекты огражде</w:t>
      </w:r>
      <w:r>
        <w:rPr>
          <w:rFonts w:ascii="Times New Roman" w:hAnsi="Times New Roman"/>
          <w:sz w:val="20"/>
        </w:rPr>
        <w:t>ний групп 11ДО и 11ДД следует составлять из комплектов их участков.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Комплекты начального и конечного участков 11ДО-Н и 11ДО-К приведены в табл. 7.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7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9"/>
        <w:gridCol w:w="2630"/>
        <w:gridCol w:w="24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и марка элемента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элементов в комплекте участка ограждения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11ДО-Н </w:t>
            </w:r>
          </w:p>
        </w:tc>
        <w:tc>
          <w:tcPr>
            <w:tcW w:w="24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11ДО-К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Секция балки: СБ-5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СБ-6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СБ-1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Стойка СД-2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Консоль жесткая КЖ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диагональная СДД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Элемент концевой: ЭК-1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ЭК-2 </w:t>
            </w:r>
          </w:p>
        </w:tc>
        <w:tc>
          <w:tcPr>
            <w:tcW w:w="26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Элемент световозвращающий ЭС </w:t>
            </w:r>
          </w:p>
        </w:tc>
        <w:tc>
          <w:tcPr>
            <w:tcW w:w="2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</w:t>
      </w:r>
      <w:r>
        <w:rPr>
          <w:rFonts w:ascii="Times New Roman" w:hAnsi="Times New Roman"/>
          <w:sz w:val="20"/>
        </w:rPr>
        <w:t xml:space="preserve"> В комплекте участка 11ДО-К допускается замена секций балки СБ-1 двумя секциями балки СБ-2.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3.3. Комплекты начального участка 11ДД-Н и переходных участков 11ДД-4П, 11ДО-2П приведены в табл. 8.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8 </w:t>
      </w: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616"/>
        <w:gridCol w:w="16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и марка элемента </w:t>
            </w:r>
          </w:p>
        </w:tc>
        <w:tc>
          <w:tcPr>
            <w:tcW w:w="477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элементов в комплекте участка ограждения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11ДД-Н </w:t>
            </w:r>
          </w:p>
        </w:tc>
        <w:tc>
          <w:tcPr>
            <w:tcW w:w="16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11ДД-1П </w:t>
            </w:r>
          </w:p>
        </w:tc>
        <w:tc>
          <w:tcPr>
            <w:tcW w:w="16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11ДД-2П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Секция балки  СБ-1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616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60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Стойка СД-3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616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160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Консоль-распорка: КР-2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16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160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КР-3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16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160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Скоба С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16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</w:tc>
        <w:tc>
          <w:tcPr>
            <w:tcW w:w="1603" w:type="dxa"/>
            <w:tcBorders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Элемент световозвращающий ЭС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616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603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</w:t>
      </w:r>
      <w:r>
        <w:rPr>
          <w:rFonts w:ascii="Times New Roman" w:hAnsi="Times New Roman"/>
          <w:sz w:val="20"/>
        </w:rPr>
        <w:t xml:space="preserve"> В комплекте участка 11ДД-Н допускается замена секций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балки СБ-1 четырьмя секциями балки СБ-2.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Комплекты рабочих участков 11ДО и 11ДД приведены в табл. 9.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 9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35"/>
        <w:gridCol w:w="750"/>
        <w:gridCol w:w="984"/>
        <w:gridCol w:w="851"/>
        <w:gridCol w:w="810"/>
        <w:gridCol w:w="891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и марка элемента </w:t>
            </w:r>
          </w:p>
        </w:tc>
        <w:tc>
          <w:tcPr>
            <w:tcW w:w="527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элементов в комплекте участка ограждения </w:t>
            </w:r>
            <w:r>
              <w:rPr>
                <w:rFonts w:ascii="Times New Roman" w:hAnsi="Times New Roman"/>
                <w:sz w:val="20"/>
              </w:rPr>
              <w:pict>
                <v:shape id="_x0000_i1049" type="#_x0000_t75" style="width:6pt;height:12pt">
                  <v:imagedata r:id="rId2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выраженное в долях длины участка, 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11ДО-4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11ДО-1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11ДД-2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Секция балки: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СБ-1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СБ-2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Стойка: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СД-1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СД-З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</w:t>
            </w:r>
            <w:r>
              <w:rPr>
                <w:rFonts w:ascii="Times New Roman" w:hAnsi="Times New Roman"/>
                <w:sz w:val="20"/>
              </w:rPr>
              <w:t xml:space="preserve">оль жесткая КЖ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Консоль-распорка КР-1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Скоба С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Элемент 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световозвращающий ЭС</w:t>
            </w:r>
          </w:p>
        </w:tc>
        <w:tc>
          <w:tcPr>
            <w:tcW w:w="7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Примечания: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При длине участков, кратной 6, 8 или 9 м, комплекты следует составлять с использованием секций балки СБ-2, СБ-З и СБ-4.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К указанным комплектам ограждений группы 11ДО следует добавлять: стоек СД-1 и консолей жестких КЖ по 1 шт.; к комплектам ограждений группы 11ДД - стоек СД-3 и консолей-распорок КР-1 по 1 шт., скоб - 2 шт.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</w:t>
      </w:r>
      <w:r>
        <w:rPr>
          <w:rFonts w:ascii="Times New Roman" w:hAnsi="Times New Roman"/>
          <w:sz w:val="20"/>
        </w:rPr>
        <w:t xml:space="preserve"> Комплекты участков 11МО и 11МД приведены в табл. 10.</w:t>
      </w:r>
    </w:p>
    <w:p w:rsidR="00000000" w:rsidRDefault="00AC797D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10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610"/>
        <w:gridCol w:w="1425"/>
        <w:gridCol w:w="1425"/>
        <w:gridCol w:w="1275"/>
        <w:gridCol w:w="1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деталей </w:t>
            </w:r>
          </w:p>
        </w:tc>
        <w:tc>
          <w:tcPr>
            <w:tcW w:w="41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элементов на длину рабочего участка ограждения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l</w:t>
            </w:r>
            <w:r>
              <w:rPr>
                <w:rFonts w:ascii="Times New Roman" w:hAnsi="Times New Roman"/>
                <w:i/>
                <w:sz w:val="20"/>
              </w:rPr>
              <w:t>*</w:t>
            </w:r>
            <w:r>
              <w:rPr>
                <w:rFonts w:ascii="Times New Roman" w:hAnsi="Times New Roman"/>
                <w:sz w:val="20"/>
              </w:rPr>
              <w:t xml:space="preserve">, 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11МО-S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11МО-SЦ 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11МД-S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Секция балки СБ-1</w:t>
            </w:r>
            <w:r>
              <w:rPr>
                <w:rFonts w:ascii="Times New Roman" w:hAnsi="Times New Roman"/>
                <w:sz w:val="20"/>
              </w:rPr>
              <w:sym w:font="Symbol" w:char="F0B8"/>
            </w:r>
            <w:r>
              <w:rPr>
                <w:rFonts w:ascii="Times New Roman" w:hAnsi="Times New Roman"/>
                <w:sz w:val="20"/>
              </w:rPr>
              <w:t xml:space="preserve">СБ-4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Стойки: СМ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СМЦ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2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Консоль-амортизатор КА 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2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Элемент световозвращающий ЭС 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12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C79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</w:t>
            </w:r>
          </w:p>
        </w:tc>
      </w:tr>
    </w:tbl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   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  <w:lang w:val="en-US"/>
        </w:rPr>
        <w:t>l</w:t>
      </w:r>
      <w:r>
        <w:rPr>
          <w:rFonts w:ascii="Times New Roman" w:hAnsi="Times New Roman"/>
          <w:sz w:val="20"/>
        </w:rPr>
        <w:t xml:space="preserve"> - длина рабочего участка между деформационными швами.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ПРАВИЛА ПРИЕМКИ 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Комплекты ограждений должны приниматься отделом технического контроля предприятия-изготовителя</w:t>
      </w:r>
      <w:r>
        <w:rPr>
          <w:rFonts w:ascii="Times New Roman" w:hAnsi="Times New Roman"/>
          <w:sz w:val="20"/>
        </w:rPr>
        <w:t xml:space="preserve"> партиями. Партией следует считать комплекты ограждений одной марки, изготовленные  по одной технологии.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Для контроля размеров и внешнего вида элементов ограждений и качества их антикоррозионного покрытия из каждой партии отбирают не менее 5 комплектов.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При получении неудовлетворительных результатов контроля хотя бы по одному из показателей,  устанавливаемых настоящим стандартом, по этому показателю проводят повторный контроль на удвоенном числе комплектов, отобранных из той же партии.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при по</w:t>
      </w:r>
      <w:r>
        <w:rPr>
          <w:rFonts w:ascii="Times New Roman" w:hAnsi="Times New Roman"/>
          <w:sz w:val="20"/>
        </w:rPr>
        <w:t>вторной проверке окажется хотя бы один комплект, не удовлетворяющий требованиям настоящего стандарта, то всю партию подвергают поштучной приемке.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Потребитель имеет право проводить контрольную проверку соответствия комплектов ограждений требованиям настоящего стандарта, соблюдая при этом приведенный порядок отбора комплектов и применяя указанные методы контроля.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 Элементы ограждений, не соответствующие требованиям настоящего стандарта,  подлежат выбраковке.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Комплекты элементов ограждений, указа</w:t>
      </w:r>
      <w:r>
        <w:rPr>
          <w:rFonts w:ascii="Times New Roman" w:hAnsi="Times New Roman"/>
          <w:sz w:val="20"/>
        </w:rPr>
        <w:t>нные в табл. 7-10, подлежат приемо-сдаточной проверке, во время которой должна быть подтверждена правильность их комплектации и упаковки.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4.7. На принятые комплекты должно быть оформлено свидетельство о приемке.    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МЕТОДЫ КОНТРОЛЯ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Качество поверхности и внешний вид элементов ограждений, отобранных для контроля, определяют визуальным сравнением с образцами-эталонами, утвержденными в установленном порядке.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Качество стали и сварочных материалов должно быть удостоверено сертификатами предприят</w:t>
      </w:r>
      <w:r>
        <w:rPr>
          <w:rFonts w:ascii="Times New Roman" w:hAnsi="Times New Roman"/>
          <w:sz w:val="20"/>
        </w:rPr>
        <w:t>ий-поставщиков или данными лаборатории предприятия - изготовителя ограждений.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Контроль качества сварных швов и их размеров следует проводить в соответствии со СНиП III-18-75.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Линейные размеры элементов ограждений контролируют рулеткой 2-го класса по ГОСТ 7502-89, металлической линейкой по ГОСТ 427-75 и штангенциркулем по ГОСТ 166-89.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5.5. Отклонение секций балки СБ-1-СБ-4 от прямолинейности проверяют измерением металлической линейкой по ГОСТ 427-75 зазора между поверхностью контролируемой балки и </w:t>
      </w:r>
      <w:r>
        <w:rPr>
          <w:rFonts w:ascii="Times New Roman" w:hAnsi="Times New Roman"/>
          <w:sz w:val="20"/>
        </w:rPr>
        <w:t>струной, закрепленной на ее концах.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Кривизну секций балки СБ-5, СБ-6 и концевого элемента определяют по шаблонам.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5.7. Контроль качества защитных покрытий от коррозии - по СНиП 3.04.03-85.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УПАКОВКА, МАРКИРОВКА, ТРАНСПОРТИРОВАНИЕ И ХРАНЕНИЕ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Все элементы ограждений, указанные в п. 1.4, кроме световозвращающих элементов, следует отправлять потребителю в связках без упаковки, световозвращающие элементы, крепежные изделия и паспорт комплекта со свидетельством о приемке - в упаковке.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Маркиров</w:t>
      </w:r>
      <w:r>
        <w:rPr>
          <w:rFonts w:ascii="Times New Roman" w:hAnsi="Times New Roman"/>
          <w:sz w:val="20"/>
        </w:rPr>
        <w:t>ка, наносимая на металлический, пластмассовый или деревянный ярлык, прикрепляемый к связке (упаковке), должна содержать: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или товарный знак предприятия-изготовителя;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марку ограждения;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число элементов в связке (упаковке);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массу связки (упаковки);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связки (упаковки);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клеймо (штамп) отдела технического контроля предприятия-изготовителя.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Каждый комплект ограждений должен сопровождаться документом, содержащим: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товарный знак предприятия-изготовителя;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потребителя</w:t>
      </w:r>
      <w:r>
        <w:rPr>
          <w:rFonts w:ascii="Times New Roman" w:hAnsi="Times New Roman"/>
          <w:sz w:val="20"/>
        </w:rPr>
        <w:t>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знака;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марку ограждения;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число связок и упаковок с указанием массы каждой связки и упаковки;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штамп отдела технического контроля предприятия-изготовителя.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6.4. Секции балки должны храниться по маркам в связках с опиранием  на деревянные прокладки и подкладки.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Подкладки под нижний ряд связок должны быть толщиной не менее 50 мм, шириной не менее 200 мм и уложены по ровному основанию через 1000 мм.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Прокладки между связками должны быть толщиной не менее 20 мм и шириной не менее 200 мм.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При транспор</w:t>
      </w:r>
      <w:r>
        <w:rPr>
          <w:rFonts w:ascii="Times New Roman" w:hAnsi="Times New Roman"/>
          <w:sz w:val="20"/>
        </w:rPr>
        <w:t>тировании связок секций балок необходимо обеспечивать их укладку с опиранием на деревянные подкладки и прокладки согласно п. 6.4.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6.6. Условия транспортирования ограждений при воздействии климатических факторов - Ж1, условия хранения - Ж2 по ГОСТ 15150-69.     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УКАЗАНИЯ ПО МОНТАЖУ</w:t>
      </w:r>
    </w:p>
    <w:p w:rsidR="00000000" w:rsidRDefault="00AC797D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 Монтаж ограждений групп 11МО и 11МД следует выполнять в соответствии с требованиями СНиП III-18-75, ограждений групп 11ДО и 11ДД - в соответствии с требованиями СНиП 3.06.03-85.</w:t>
      </w:r>
    </w:p>
    <w:p w:rsidR="00000000" w:rsidRDefault="00AC797D">
      <w:pPr>
        <w:widowControl/>
        <w:ind w:firstLine="225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7.2. Крепление консоли жесткой к стойкам С</w:t>
      </w:r>
      <w:r>
        <w:rPr>
          <w:rFonts w:ascii="Times New Roman" w:hAnsi="Times New Roman"/>
          <w:sz w:val="20"/>
        </w:rPr>
        <w:t>Д-1 следует выполнять без шайб. При этом головка болта должна находиться внутри консоли.</w:t>
      </w:r>
    </w:p>
    <w:sectPr w:rsidR="00000000">
      <w:endnotePr>
        <w:numFmt w:val="decimal"/>
      </w:endnotePr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97D"/>
    <w:rsid w:val="00A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  <w:rPr>
      <w:sz w:val="20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wmf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w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2649</Words>
  <Characters>15104</Characters>
  <Application>Microsoft Office Word</Application>
  <DocSecurity>0</DocSecurity>
  <Lines>125</Lines>
  <Paragraphs>35</Paragraphs>
  <ScaleCrop>false</ScaleCrop>
  <Company> </Company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ЦНТИ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