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324B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27936-88</w:t>
      </w:r>
    </w:p>
    <w:p w:rsidR="00000000" w:rsidRDefault="00AB324B">
      <w:pPr>
        <w:jc w:val="right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69.028.2:006.354                                                                                                       Группа Ж32</w:t>
      </w:r>
    </w:p>
    <w:p w:rsidR="00000000" w:rsidRDefault="00AB324B">
      <w:pPr>
        <w:pStyle w:val="Preformat"/>
        <w:jc w:val="right"/>
        <w:rPr>
          <w:rFonts w:ascii="Times New Roman" w:hAnsi="Times New Roman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ОКНА И ДВЕРИ БАЛКОННЫЕ ДЕРЕВОАЛЮМИНИЕВЫЕ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ОБЩЕСТВЕННЫХ ЗДАНИЙ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Типы </w:t>
      </w:r>
      <w:r>
        <w:rPr>
          <w:rFonts w:ascii="Times New Roman" w:hAnsi="Times New Roman"/>
          <w:sz w:val="20"/>
        </w:rPr>
        <w:t>и конструкция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Windows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and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balcony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doors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of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woodaluminium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for</w:t>
      </w:r>
      <w:proofErr w:type="spellEnd"/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public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buildings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Types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and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structure</w:t>
      </w:r>
      <w:proofErr w:type="spellEnd"/>
      <w:r>
        <w:rPr>
          <w:rFonts w:ascii="Times New Roman" w:hAnsi="Times New Roman"/>
          <w:sz w:val="20"/>
        </w:rPr>
        <w:t xml:space="preserve"> 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Preformat"/>
        <w:rPr>
          <w:rFonts w:ascii="Times New Roman" w:hAnsi="Times New Roman"/>
        </w:rPr>
      </w:pPr>
    </w:p>
    <w:p w:rsidR="00000000" w:rsidRDefault="00AB324B">
      <w:pPr>
        <w:ind w:firstLine="4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ОКП 53 6130</w:t>
      </w:r>
    </w:p>
    <w:p w:rsidR="00000000" w:rsidRDefault="00AB324B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введения 1990-01-01 </w:t>
      </w:r>
    </w:p>
    <w:p w:rsidR="00000000" w:rsidRDefault="00AB324B">
      <w:pPr>
        <w:pStyle w:val="Preformat"/>
        <w:rPr>
          <w:rFonts w:ascii="Times New Roman" w:hAnsi="Times New Roman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ИНФОРМАЦИОННЫЕ ДАННЫЕ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РАЗРАБОТАН И ВНЕСЕН Государственным комитетом по архитектуре и градостроительству при Госстрое СССР</w:t>
      </w:r>
    </w:p>
    <w:p w:rsidR="00000000" w:rsidRDefault="00AB324B">
      <w:pPr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Всесоюзным  научно-исследовательским институтом деревообрабатывающей промышленности (</w:t>
      </w:r>
      <w:proofErr w:type="spellStart"/>
      <w:r>
        <w:rPr>
          <w:rFonts w:ascii="Times New Roman" w:hAnsi="Times New Roman"/>
          <w:sz w:val="20"/>
        </w:rPr>
        <w:t>ВНИИдрев</w:t>
      </w:r>
      <w:proofErr w:type="spellEnd"/>
      <w:r>
        <w:rPr>
          <w:rFonts w:ascii="Times New Roman" w:hAnsi="Times New Roman"/>
          <w:sz w:val="20"/>
        </w:rPr>
        <w:t xml:space="preserve">) </w:t>
      </w:r>
      <w:proofErr w:type="spellStart"/>
      <w:r>
        <w:rPr>
          <w:rFonts w:ascii="Times New Roman" w:hAnsi="Times New Roman"/>
          <w:sz w:val="20"/>
        </w:rPr>
        <w:t>Минлеспрома</w:t>
      </w:r>
      <w:proofErr w:type="spellEnd"/>
      <w:r>
        <w:rPr>
          <w:rFonts w:ascii="Times New Roman" w:hAnsi="Times New Roman"/>
          <w:sz w:val="20"/>
        </w:rPr>
        <w:t xml:space="preserve"> СССР 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РАЗРАБОТЧИКИ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И.С.Ланько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архит</w:t>
      </w:r>
      <w:proofErr w:type="spellEnd"/>
      <w:r>
        <w:rPr>
          <w:rFonts w:ascii="Times New Roman" w:hAnsi="Times New Roman"/>
          <w:sz w:val="20"/>
        </w:rPr>
        <w:t xml:space="preserve">. (руководитель темы); </w:t>
      </w:r>
      <w:proofErr w:type="spellStart"/>
      <w:r>
        <w:rPr>
          <w:rFonts w:ascii="Times New Roman" w:hAnsi="Times New Roman"/>
          <w:sz w:val="20"/>
        </w:rPr>
        <w:t>Е.Л.Угрюмов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архит</w:t>
      </w:r>
      <w:proofErr w:type="spellEnd"/>
      <w:r>
        <w:rPr>
          <w:rFonts w:ascii="Times New Roman" w:hAnsi="Times New Roman"/>
          <w:sz w:val="20"/>
        </w:rPr>
        <w:t xml:space="preserve">.; </w:t>
      </w:r>
      <w:proofErr w:type="spellStart"/>
      <w:r>
        <w:rPr>
          <w:rFonts w:ascii="Times New Roman" w:hAnsi="Times New Roman"/>
          <w:sz w:val="20"/>
        </w:rPr>
        <w:t>П.А.Калайда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М.Б.Приймак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В.Ф.Афендиков</w:t>
      </w:r>
      <w:proofErr w:type="spellEnd"/>
      <w:r>
        <w:rPr>
          <w:rFonts w:ascii="Times New Roman" w:hAnsi="Times New Roman"/>
          <w:sz w:val="20"/>
        </w:rPr>
        <w:t>, к</w:t>
      </w:r>
      <w:r>
        <w:rPr>
          <w:rFonts w:ascii="Times New Roman" w:hAnsi="Times New Roman"/>
          <w:sz w:val="20"/>
        </w:rPr>
        <w:t xml:space="preserve">анд. эконом. наук; </w:t>
      </w:r>
      <w:proofErr w:type="spellStart"/>
      <w:r>
        <w:rPr>
          <w:rFonts w:ascii="Times New Roman" w:hAnsi="Times New Roman"/>
          <w:sz w:val="20"/>
        </w:rPr>
        <w:t>В.В.Аникьев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Н.А.Мамчур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А.А.Жиркова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А.И.Водяницкий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Р.Н.Минчук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С.П.Соловьев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</w:t>
      </w:r>
      <w:proofErr w:type="spellStart"/>
      <w:r>
        <w:rPr>
          <w:rFonts w:ascii="Times New Roman" w:hAnsi="Times New Roman"/>
          <w:sz w:val="20"/>
        </w:rPr>
        <w:t>Ю.М.Щипанов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И.В.Строков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В.В.Кислый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</w:t>
      </w:r>
      <w:proofErr w:type="spellStart"/>
      <w:r>
        <w:rPr>
          <w:rFonts w:ascii="Times New Roman" w:hAnsi="Times New Roman"/>
          <w:sz w:val="20"/>
        </w:rPr>
        <w:t>А.В.Ткаченко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Г.В.Левушкин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Н.В.Шведов</w:t>
      </w:r>
      <w:proofErr w:type="spellEnd"/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УТВЕРЖДЕН И ВВЕДЕН В ДЕЙСТВИЕ постановлением Государственного строительного комитета СССР от 10.10.88 N 223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ВВЕДЕН ВПЕРВЫЕ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ССЫЛОЧНЫЕ НОРМАТИВНО-ТЕХНИЧЕСКИЕ ДОКУМЕНТЫ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005"/>
        <w:gridCol w:w="2126"/>
        <w:gridCol w:w="19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Обозначение НТД, на который дана ссылка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Номер пункта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Обозначение НТД, на который дана ссылка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Номер пункта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nil"/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111-90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23166-78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5088-94</w:t>
            </w:r>
          </w:p>
        </w:tc>
        <w:tc>
          <w:tcPr>
            <w:tcW w:w="2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25097-82</w:t>
            </w:r>
          </w:p>
        </w:tc>
        <w:tc>
          <w:tcPr>
            <w:tcW w:w="1985" w:type="dxa"/>
            <w:tcBorders>
              <w:lef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11214-86</w:t>
            </w:r>
          </w:p>
        </w:tc>
        <w:tc>
          <w:tcPr>
            <w:tcW w:w="2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1.3, 2.3, 2.4, 2.7, 2.8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СНиП II-3-79</w:t>
            </w:r>
          </w:p>
        </w:tc>
        <w:tc>
          <w:tcPr>
            <w:tcW w:w="1985" w:type="dxa"/>
            <w:tcBorders>
              <w:lef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21519-84</w:t>
            </w:r>
          </w:p>
        </w:tc>
        <w:tc>
          <w:tcPr>
            <w:tcW w:w="2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</w:tr>
    </w:tbl>
    <w:p w:rsidR="00000000" w:rsidRDefault="00AB324B">
      <w:pPr>
        <w:pStyle w:val="Preformat"/>
        <w:rPr>
          <w:rFonts w:ascii="Times New Roman" w:hAnsi="Times New Roman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ПЕРЕИЗДАНИЕ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Настоящий стандарт распространяется на </w:t>
      </w:r>
      <w:proofErr w:type="spellStart"/>
      <w:r>
        <w:rPr>
          <w:rFonts w:ascii="Times New Roman" w:hAnsi="Times New Roman"/>
          <w:sz w:val="20"/>
        </w:rPr>
        <w:t>деревоалюминиевые</w:t>
      </w:r>
      <w:proofErr w:type="spellEnd"/>
      <w:r>
        <w:rPr>
          <w:rFonts w:ascii="Times New Roman" w:hAnsi="Times New Roman"/>
          <w:sz w:val="20"/>
        </w:rPr>
        <w:t xml:space="preserve"> окна и балконные двери с деревянным внутренним и алюминиевым наружным переплетами с двойным остеклением (далее - изделия), предназначенные для общественных зданий и сооружений.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ТИПЫ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1.1. </w:t>
      </w:r>
      <w:proofErr w:type="spellStart"/>
      <w:r>
        <w:rPr>
          <w:rFonts w:ascii="Times New Roman" w:hAnsi="Times New Roman"/>
          <w:sz w:val="20"/>
        </w:rPr>
        <w:t>Деревоалюминиевые</w:t>
      </w:r>
      <w:proofErr w:type="spellEnd"/>
      <w:r>
        <w:rPr>
          <w:rFonts w:ascii="Times New Roman" w:hAnsi="Times New Roman"/>
          <w:sz w:val="20"/>
        </w:rPr>
        <w:t xml:space="preserve"> окна и балконные двери должны изготавливаться в соответствии с требованиями ГОСТ 25097 и нас</w:t>
      </w:r>
      <w:r>
        <w:rPr>
          <w:rFonts w:ascii="Times New Roman" w:hAnsi="Times New Roman"/>
          <w:sz w:val="20"/>
        </w:rPr>
        <w:t xml:space="preserve">тоящего стандарта по рабочим чертежам предприятия-изготовителя, утвержденным в установленном порядке и разработанным по серии 1.136.9-22, </w:t>
      </w:r>
      <w:r>
        <w:rPr>
          <w:rFonts w:ascii="Times New Roman" w:hAnsi="Times New Roman"/>
          <w:sz w:val="20"/>
        </w:rPr>
        <w:lastRenderedPageBreak/>
        <w:t>выпуск 5/88.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Изделия подразделяют на два типа: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Р - с раздельными переплетами;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 - со спаренными переплетами.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Деревянная часть изделий должна соответствовать требованиям ГОСТ 11214 и ГОСТ 23166: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для типа Р - внутренним элементам окон и балконных дверей типа Р;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для типа С - наружным элементам окон и балконных дверей типа Р и черт.2-19 настоящего стандарта.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Алюминиевая часть изделий должна соответствовать требованиям ГОСТ 21519 и профилям сечений, указанным на черт.2-19.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1.5. Габаритные размеры окон и балконных дверей должны соответствовать указанным на черт.1.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1.6. Одностворчатые окна и балконные двери, в т.ч. с фрамугами, могут изготавливаться с правым и левым открыванием, а многостворчатые окна с несимметричным рисунком переплета - в зеркальном исполнении.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1.7. Устанавливают следующую структуру условного обозначения изделия:</w:t>
      </w:r>
    </w:p>
    <w:p w:rsidR="00000000" w:rsidRDefault="00AB324B">
      <w:pPr>
        <w:pStyle w:val="Preformat"/>
        <w:rPr>
          <w:rFonts w:ascii="Times New Roman" w:hAnsi="Times New Roman"/>
        </w:rPr>
      </w:pPr>
    </w:p>
    <w:p w:rsidR="00000000" w:rsidRDefault="00AB324B">
      <w:pPr>
        <w:pStyle w:val="Preformat"/>
        <w:rPr>
          <w:rFonts w:ascii="Times New Roman" w:hAnsi="Times New Roman"/>
        </w:rPr>
      </w:pPr>
      <w:r>
        <w:object w:dxaOrig="8565" w:dyaOrig="4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198.75pt" o:ole="">
            <v:imagedata r:id="rId4" o:title=""/>
          </v:shape>
          <o:OLEObject Type="Embed" ProgID="PBrush" ShapeID="_x0000_i1025" DrawAspect="Content" ObjectID="_1427200409" r:id="rId5"/>
        </w:objec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</w:t>
      </w:r>
      <w:r>
        <w:rPr>
          <w:rFonts w:ascii="Times New Roman" w:hAnsi="Times New Roman"/>
          <w:sz w:val="20"/>
        </w:rPr>
        <w:t>ры условных обозначений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Деревоалюминиевое</w:t>
      </w:r>
      <w:proofErr w:type="spellEnd"/>
      <w:r>
        <w:rPr>
          <w:rFonts w:ascii="Times New Roman" w:hAnsi="Times New Roman"/>
          <w:sz w:val="20"/>
        </w:rPr>
        <w:t xml:space="preserve"> окно типа С </w:t>
      </w:r>
      <w:proofErr w:type="spellStart"/>
      <w:r>
        <w:rPr>
          <w:rFonts w:ascii="Times New Roman" w:hAnsi="Times New Roman"/>
          <w:sz w:val="20"/>
        </w:rPr>
        <w:t>с</w:t>
      </w:r>
      <w:proofErr w:type="spellEnd"/>
      <w:r>
        <w:rPr>
          <w:rFonts w:ascii="Times New Roman" w:hAnsi="Times New Roman"/>
          <w:sz w:val="20"/>
        </w:rPr>
        <w:t xml:space="preserve"> габаритными размерами по высоте 18М и ширине 9М, с вариантом рисунка окна В:</w:t>
      </w: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ОДС18-9В ГОСТ 27936-88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 же, типа С </w:t>
      </w:r>
      <w:proofErr w:type="spellStart"/>
      <w:r>
        <w:rPr>
          <w:rFonts w:ascii="Times New Roman" w:hAnsi="Times New Roman"/>
          <w:sz w:val="20"/>
        </w:rPr>
        <w:t>с</w:t>
      </w:r>
      <w:proofErr w:type="spellEnd"/>
      <w:r>
        <w:rPr>
          <w:rFonts w:ascii="Times New Roman" w:hAnsi="Times New Roman"/>
          <w:sz w:val="20"/>
        </w:rPr>
        <w:t xml:space="preserve"> габаритными размерами по высоте 18М и ширине 15М, с вариантом рисунка окна В и рисунком переплета в зеркальном исполнении:</w:t>
      </w: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ОДС18-15ВН ГОСТ 27936-88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Балконная дверь типа Р с габаритными размерами по высоте 28М и ширине 9М:</w:t>
      </w: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БДР28-9 ГОСТ 27936-88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Окно типа Р с габаритными размерами по высоте 18М и ширине 15М, с вариантом рисунка Г:</w:t>
      </w: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ОДР18-15Г</w:t>
      </w:r>
      <w:r>
        <w:rPr>
          <w:rFonts w:ascii="Times New Roman" w:hAnsi="Times New Roman"/>
          <w:i/>
          <w:sz w:val="20"/>
        </w:rPr>
        <w:t xml:space="preserve"> ГОСТ 27936-88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Балконная дверь типа Р с габаритными размерами по высоте 28М и ширине 12М, с левой навеской полотен:</w:t>
      </w: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БДР28-12Л ГОСТ 27936-88 </w:t>
      </w: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</w:p>
    <w:p w:rsidR="00000000" w:rsidRDefault="00AB324B">
      <w:pPr>
        <w:jc w:val="center"/>
        <w:rPr>
          <w:rFonts w:ascii="Times New Roman" w:hAnsi="Times New Roman"/>
          <w:i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Габаритные размеры </w:t>
      </w:r>
      <w:proofErr w:type="spellStart"/>
      <w:r>
        <w:rPr>
          <w:rFonts w:ascii="Times New Roman" w:hAnsi="Times New Roman"/>
          <w:sz w:val="20"/>
        </w:rPr>
        <w:t>деревоалюминиевых</w:t>
      </w:r>
      <w:proofErr w:type="spellEnd"/>
      <w:r>
        <w:rPr>
          <w:rFonts w:ascii="Times New Roman" w:hAnsi="Times New Roman"/>
          <w:sz w:val="20"/>
        </w:rPr>
        <w:t xml:space="preserve"> окон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и балконных дверей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345pt;height:454.5pt">
            <v:imagedata r:id="rId6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Примечание: Допускается применение окон 13,5 М по ширине.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ТРЕБОВАНИЯ К КОНСТРУКЦИИ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Конструкция и основные размеры окон и балконных дверей должны соответствовать:</w:t>
      </w:r>
    </w:p>
    <w:p w:rsidR="00000000" w:rsidRDefault="00AB324B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для типа Р -указанным в табл.1 и на черт.2-10;</w:t>
      </w:r>
    </w:p>
    <w:p w:rsidR="00000000" w:rsidRDefault="00AB324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типа С - указанным в тябл.2 и на черт.11-19.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По согласованию изг</w:t>
      </w:r>
      <w:r>
        <w:rPr>
          <w:rFonts w:ascii="Times New Roman" w:hAnsi="Times New Roman"/>
          <w:sz w:val="20"/>
        </w:rPr>
        <w:t>отовителя с потребителем допускается изготовление окон и балконных дверей с фрамугами в отдельных коробках.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Конструкция заполнения глухой части полотен балконных дверей должна соответствовать ГОСТ 11214. Допускается применение других конструкций заполнения в зависимости от климатических районов эксплуатации изделий и при условии соблюдения требований СНиП II-3.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Для отвода дождевой и конденсатной воды в нижних и средних горизонтальных профилях должны быть предусмотрены водоотводящие отверстия или п</w:t>
      </w:r>
      <w:r>
        <w:rPr>
          <w:rFonts w:ascii="Times New Roman" w:hAnsi="Times New Roman"/>
          <w:sz w:val="20"/>
        </w:rPr>
        <w:t>азы, число которых должно соответствовать ГОСТ 11214.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Для остекления изделий следует применять стекло толщиной 3-4 мм по ГОСТ 111. Толщину стекла уточняют в проектах с учетом ветровых нагрузок и шумовых воздействий в районе строительства.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Створки и полотна внутренних деревянных переплетов окон и балконных дверей типов Р и С должны быть навешены на врезные петли с вынимающимися стержнями по ГОСТ 5088.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Створки и полотна наружных алюминиевых переплетов изделий типа Р должны быть навешены на специальн</w:t>
      </w:r>
      <w:r>
        <w:rPr>
          <w:rFonts w:ascii="Times New Roman" w:hAnsi="Times New Roman"/>
          <w:sz w:val="20"/>
        </w:rPr>
        <w:t>ые алюминиевые петли, обеспечивающие дополнительное крепление к деревянной коробке, а типа С - на внутренние деревянные створки и полотна при помощи петель-шарниров.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 Расположение петель и приборов в изделиях устанавливают в рабочих чертежах, утвержденных в установленном порядке, с учетом требований настоящего стандарта и ГОСТ 11214.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 Габариты проемов окон и балконных дверей в наружных стенах зданий должны соответствовать габаритам проемов, принятым в ГОСТ 11214.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Места установки уплотняющих про</w:t>
      </w:r>
      <w:r>
        <w:rPr>
          <w:rFonts w:ascii="Times New Roman" w:hAnsi="Times New Roman"/>
          <w:sz w:val="20"/>
        </w:rPr>
        <w:t xml:space="preserve">кладок в притворах </w:t>
      </w:r>
      <w:proofErr w:type="spellStart"/>
      <w:r>
        <w:rPr>
          <w:rFonts w:ascii="Times New Roman" w:hAnsi="Times New Roman"/>
          <w:sz w:val="20"/>
        </w:rPr>
        <w:t>деревоалюминиевых</w:t>
      </w:r>
      <w:proofErr w:type="spellEnd"/>
      <w:r>
        <w:rPr>
          <w:rFonts w:ascii="Times New Roman" w:hAnsi="Times New Roman"/>
          <w:sz w:val="20"/>
        </w:rPr>
        <w:t xml:space="preserve"> окон и балконных дверей указаны на черт.2-19.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2.10. По требованию потребителя </w:t>
      </w:r>
      <w:proofErr w:type="spellStart"/>
      <w:r>
        <w:rPr>
          <w:rFonts w:ascii="Times New Roman" w:hAnsi="Times New Roman"/>
          <w:sz w:val="20"/>
        </w:rPr>
        <w:t>деревоалюминиевые</w:t>
      </w:r>
      <w:proofErr w:type="spellEnd"/>
      <w:r>
        <w:rPr>
          <w:rFonts w:ascii="Times New Roman" w:hAnsi="Times New Roman"/>
          <w:sz w:val="20"/>
        </w:rPr>
        <w:t xml:space="preserve"> окна и балконные двери должны комплектоваться </w:t>
      </w:r>
      <w:proofErr w:type="spellStart"/>
      <w:r>
        <w:rPr>
          <w:rFonts w:ascii="Times New Roman" w:hAnsi="Times New Roman"/>
          <w:sz w:val="20"/>
        </w:rPr>
        <w:t>нащельниками</w:t>
      </w:r>
      <w:proofErr w:type="spellEnd"/>
      <w:r>
        <w:rPr>
          <w:rFonts w:ascii="Times New Roman" w:hAnsi="Times New Roman"/>
          <w:sz w:val="20"/>
        </w:rPr>
        <w:t>, сливами, элементами для блокировки (комплектующие изделия), изготовляемыми по рабочим чертежам, утвержденным в установленном порядке. Вид и цвет защитно-декоративного покрытия алюминиевой и деревянной части изделия, а также дополнительные требования определяют по согласованию изготовителя с потребителем.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2.11. Примеры</w:t>
      </w:r>
      <w:r>
        <w:rPr>
          <w:rFonts w:ascii="Times New Roman" w:hAnsi="Times New Roman"/>
          <w:sz w:val="20"/>
        </w:rPr>
        <w:t xml:space="preserve"> расположения приборов на алюминиевых переплетах в </w:t>
      </w:r>
      <w:proofErr w:type="spellStart"/>
      <w:r>
        <w:rPr>
          <w:rFonts w:ascii="Times New Roman" w:hAnsi="Times New Roman"/>
          <w:sz w:val="20"/>
        </w:rPr>
        <w:t>деревоалюминиевых</w:t>
      </w:r>
      <w:proofErr w:type="spellEnd"/>
      <w:r>
        <w:rPr>
          <w:rFonts w:ascii="Times New Roman" w:hAnsi="Times New Roman"/>
          <w:sz w:val="20"/>
        </w:rPr>
        <w:t xml:space="preserve"> окнах и балконных дверях приведены в приложении.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Конструкция и основные размеры окон и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балконных дверей с наружным алюминиевым переплетом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Р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0"/>
        <w:gridCol w:w="1414"/>
        <w:gridCol w:w="709"/>
        <w:gridCol w:w="709"/>
        <w:gridCol w:w="708"/>
        <w:gridCol w:w="709"/>
        <w:gridCol w:w="567"/>
        <w:gridCol w:w="709"/>
        <w:gridCol w:w="709"/>
        <w:gridCol w:w="5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Конструктивная схема</w:t>
            </w: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Марка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изделия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стекла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внутреннего</w:t>
            </w:r>
          </w:p>
        </w:tc>
        <w:tc>
          <w:tcPr>
            <w:tcW w:w="198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наружного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7" type="#_x0000_t75" style="width:88.5pt;height:102pt">
                  <v:imagedata r:id="rId7" o:title=""/>
                </v:shape>
              </w:pict>
            </w: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ОДР12-9В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ОДР12-12В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ОДР12-13,5В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ОДР18-9Г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ОДР18-12Г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ОДР18-13,5Г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ОДР21-9Г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ОДР21-12Г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ОДР21-13,5Г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870 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870 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1320 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8" type="#_x0000_t75" style="width:96pt;height:88.5pt">
                  <v:imagedata r:id="rId8" o:title=""/>
                </v:shape>
              </w:pict>
            </w: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ОДР12-15В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775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745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ОДР12-18В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995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965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435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ОДР12-21В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1185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1155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ОДР18-15Г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775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745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ОДР18-18Г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995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965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vanish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ОДР18-21Г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1185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1155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ОДР21-15Г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775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745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ОДР21-18Г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465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435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ОДР21-21Г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1185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1155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9" type="#_x0000_t75" style="width:94.5pt;height:81.75pt">
                  <v:imagedata r:id="rId9" o:title=""/>
                </v:shape>
              </w:pict>
            </w: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ОДР18-24Г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ОДР21-24Г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0" type="#_x0000_t75" style="width:91.5pt;height:118.5pt">
                  <v:imagedata r:id="rId10" o:title=""/>
                </v:shape>
              </w:pic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ОДР18-9В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1050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1045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ОДР18-12В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1050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1045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ОДР18-13,5В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1050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1045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ОДР21-9В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ОДР21-12В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ОДР21-13,5В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1" type="#_x0000_t75" style="width:91.5pt;height:101.25pt">
                  <v:imagedata r:id="rId11" o:title=""/>
                </v:shape>
              </w:pict>
            </w: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ОДР18-15В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ОДР18-18В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ОДР18-21В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ОДР21-15В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ОДР21-18В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ОДР21-21В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2" type="#_x0000_t75" style="width:103.5pt;height:98.25pt">
                  <v:imagedata r:id="rId12" o:title=""/>
                </v:shape>
              </w:pict>
            </w: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ОДР18-24В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ОДР21-24В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ОДР18-27В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ОДР21-27В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3" type="#_x0000_t75" style="width:100.5pt;height:98.25pt">
                  <v:imagedata r:id="rId13" o:title=""/>
                </v:shape>
              </w:pict>
            </w: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ОДР18-27Е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1185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1155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ОДР21-27Е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1185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1155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213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vanish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4" type="#_x0000_t75" style="width:88.5pt;height:157.5pt">
                  <v:imagedata r:id="rId14" o:title=""/>
                </v:shape>
              </w:pict>
            </w: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БДР28-9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1350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1345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БДР28-12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5" type="#_x0000_t75" style="width:94.5pt;height:128.25pt">
                  <v:imagedata r:id="rId15" o:title=""/>
                </v:shape>
              </w:pict>
            </w:r>
          </w:p>
        </w:tc>
        <w:tc>
          <w:tcPr>
            <w:tcW w:w="141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БДР28-18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1778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1350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1345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40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000000" w:rsidRDefault="00AB324B">
      <w:pPr>
        <w:jc w:val="both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Примечание. В табл.1 и 2 размеры на схемах </w:t>
      </w:r>
      <w:proofErr w:type="spellStart"/>
      <w:r>
        <w:rPr>
          <w:rFonts w:ascii="Times New Roman" w:hAnsi="Times New Roman"/>
          <w:sz w:val="20"/>
        </w:rPr>
        <w:t>деревоалюминиевых</w:t>
      </w:r>
      <w:proofErr w:type="spellEnd"/>
      <w:r>
        <w:rPr>
          <w:rFonts w:ascii="Times New Roman" w:hAnsi="Times New Roman"/>
          <w:sz w:val="20"/>
        </w:rPr>
        <w:t xml:space="preserve"> окон и балконных дверей даны в свету по наружным сторонам неокрашенных деревянных коробок.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36" type="#_x0000_t75" style="width:240.75pt;height:255.75pt">
            <v:imagedata r:id="rId16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Черт.2 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7" type="#_x0000_t75" style="width:240pt;height:254.25pt">
            <v:imagedata r:id="rId17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Черт.3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8" type="#_x0000_t75" style="width:232.5pt;height:270.75pt">
            <v:imagedata r:id="rId18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Черт.4 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9" type="#_x0000_t75" style="width:214.5pt;height:267.75pt">
            <v:imagedata r:id="rId19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Черт.5 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Сечение 5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0" type="#_x0000_t75" style="width:324pt;height:182.25pt">
            <v:imagedata r:id="rId20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Черт.6 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Сечение 6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1" type="#_x0000_t75" style="width:234pt;height:264pt">
            <v:imagedata r:id="rId21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Черт.7 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Сечение 7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2" type="#_x0000_t75" style="width:203.25pt;height:195pt">
            <v:imagedata r:id="rId22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Черт.8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Сечение 8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3" type="#_x0000_t75" style="width:261pt;height:242.25pt">
            <v:imagedata r:id="rId23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Черт.9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4" type="#_x0000_t75" style="width:204.75pt;height:167.25pt">
            <v:imagedata r:id="rId24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Черт.10 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5" type="#_x0000_t75" style="width:129.75pt;height:214.5pt">
            <v:imagedata r:id="rId25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Черт.11 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6" type="#_x0000_t75" style="width:127.5pt;height:208.5pt">
            <v:imagedata r:id="rId26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Черт.12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7" type="#_x0000_t75" style="width:281.25pt;height:206.25pt">
            <v:imagedata r:id="rId27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Черт.13 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8" type="#_x0000_t75" style="width:269.25pt;height:207.75pt">
            <v:imagedata r:id="rId28" o:title=""/>
          </v:shape>
        </w:pict>
      </w:r>
    </w:p>
    <w:p w:rsidR="00000000" w:rsidRDefault="00AB324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Черт.14 </w:t>
      </w:r>
    </w:p>
    <w:p w:rsidR="00000000" w:rsidRDefault="00AB324B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2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Конструкция и основные размеры окон и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балконных дверей с наружным алюминиевым переплетом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С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0"/>
        <w:gridCol w:w="1680"/>
        <w:gridCol w:w="780"/>
        <w:gridCol w:w="780"/>
        <w:gridCol w:w="900"/>
        <w:gridCol w:w="900"/>
        <w:gridCol w:w="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Конструктивная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Марка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изделия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стекла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</w: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49" type="#_x0000_t75" style="width:94.5pt;height:114pt">
                  <v:imagedata r:id="rId29" o:title=""/>
                </v:shape>
              </w:pic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ОДС12-9В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ОДС12-12В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ОДС12-13,5В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ОДС18-9Г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ОДС18-12Г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ОДС18-13,5Г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ОДС21-9Г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ОДС21-12Г</w:t>
            </w: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ОДС21-13,5Г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854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1154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1304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854 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1154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1304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854 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1154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50" type="#_x0000_t75" style="width:111pt;height:114pt">
                  <v:imagedata r:id="rId30" o:title=""/>
                </v:shape>
              </w:pic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ОДС12-15В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ОДС12-18В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ОДС12-21В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ОДС18-15Г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ОДС18-18Г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ОДС18-21Г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vanish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ОДС21-15Г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ОДС21-18Г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ОДС21-21Г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51" type="#_x0000_t75" style="width:108pt;height:106.5pt">
                  <v:imagedata r:id="rId31" o:title=""/>
                </v:shape>
              </w:pic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ОДС18-24Г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ОДС21-24Г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52" type="#_x0000_t75" style="width:106.5pt;height:127.5pt">
                  <v:imagedata r:id="rId32" o:title=""/>
                </v:shape>
              </w:pic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ОДС18-9В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ОДС18-12В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ОДС18-13,5В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ОДС21-9В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ОДС21-12В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ОДС21-13,5В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53" type="#_x0000_t75" style="width:126pt;height:127.5pt">
                  <v:imagedata r:id="rId33" o:title=""/>
                </v:shape>
              </w:pic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ОДС18-15В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vanish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ОДС18-18В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vanish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vanish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ОДС18-21В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vanish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ОДС21-15В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ОДС21-18В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ОДС21-21В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54" type="#_x0000_t75" style="width:127.5pt;height:117pt">
                  <v:imagedata r:id="rId34" o:title=""/>
                </v:shape>
              </w:pic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ОДС18-24В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ОДС21-24В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ОДС18-27В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ОДС21-27В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55" type="#_x0000_t75" style="width:126pt;height:123pt">
                  <v:imagedata r:id="rId35" o:title=""/>
                </v:shape>
              </w:pic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ОДС18-27Г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ОДС21-27Г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56" type="#_x0000_t75" style="width:105pt;height:157.5pt">
                  <v:imagedata r:id="rId36" o:title=""/>
                </v:shape>
              </w:pic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БДС28-9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2737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1315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615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БДС28-12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2737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6" w:space="0" w:color="auto"/>
            </w:tcBorders>
          </w:tcPr>
          <w:p w:rsidR="00000000" w:rsidRDefault="00AB32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57" type="#_x0000_t75" style="width:114pt;height:145.5pt">
                  <v:imagedata r:id="rId37" o:title=""/>
                </v:shape>
              </w:pic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</w:p>
          <w:p w:rsidR="00000000" w:rsidRDefault="00AB324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БДС28-18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2737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1762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1315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685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735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685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735</w:t>
            </w:r>
          </w:p>
        </w:tc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AB32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</w:tbl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Сечение 5 и 6 (для трехстворчатого окна)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8" type="#_x0000_t75" style="width:177.75pt;height:362.25pt">
            <v:imagedata r:id="rId38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Черт.15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В с</w:t>
      </w:r>
      <w:r>
        <w:rPr>
          <w:rFonts w:ascii="Times New Roman" w:hAnsi="Times New Roman"/>
          <w:sz w:val="20"/>
        </w:rPr>
        <w:t>кобках указаны размеры для сечения 6.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Сечение 7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9" type="#_x0000_t75" style="width:171.75pt;height:344.25pt">
            <v:imagedata r:id="rId39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Черт.16</w:t>
      </w:r>
    </w:p>
    <w:p w:rsidR="00000000" w:rsidRDefault="00AB324B">
      <w:pPr>
        <w:pStyle w:val="Preformat"/>
        <w:rPr>
          <w:rFonts w:ascii="Times New Roman" w:hAnsi="Times New Roman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Сечение 8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0" type="#_x0000_t75" style="width:167.25pt;height:187.5pt">
            <v:imagedata r:id="rId40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Черт.17 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Сечение 9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1" type="#_x0000_t75" style="width:161.25pt;height:246.75pt">
            <v:imagedata r:id="rId41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Черт.18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Сечение 10 </w:t>
      </w:r>
    </w:p>
    <w:p w:rsidR="00000000" w:rsidRDefault="00AB324B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62" type="#_x0000_t75" style="width:307.5pt;height:195.75pt">
            <v:imagedata r:id="rId42" o:title=""/>
          </v:shape>
        </w:pic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Черт.19 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000000" w:rsidRDefault="00AB324B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Справочное</w:t>
      </w:r>
    </w:p>
    <w:p w:rsidR="00000000" w:rsidRDefault="00AB324B">
      <w:pPr>
        <w:pStyle w:val="Preformat"/>
        <w:jc w:val="right"/>
        <w:rPr>
          <w:rFonts w:ascii="Times New Roman" w:hAnsi="Times New Roman"/>
        </w:rPr>
      </w:pP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РАСПОЛОЖЕНИЕ ПРИБОРОВ НА АЛЮМИНИЕВЫХ ПЕРЕПЛЕТАХ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ДЕРЕВОАЛЮМИНИЕВЫХ ОКНАХ И БАЛКОННЫХ ДВЕРЯХ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(ПРИМЕРЫ)</w:t>
      </w:r>
    </w:p>
    <w:p w:rsidR="00000000" w:rsidRDefault="00AB324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3" type="#_x0000_t75" style="width:331.5pt;height:207.75pt">
            <v:imagedata r:id="rId43" o:title=""/>
          </v:shape>
        </w:pic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завертка врезная типа ЗР1; 2 - петля для спаривания; 3 петля; 4 - соединитель створок; 5 - компенсатор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Черт.20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</w:p>
    <w:p w:rsidR="00000000" w:rsidRDefault="00AB324B">
      <w:pPr>
        <w:ind w:firstLine="2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4" type="#_x0000_t75" style="width:286.5pt;height:255pt">
            <v:imagedata r:id="rId44" o:title=""/>
          </v:shape>
        </w:pic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завертка врезная типа ЗР1; 2 - петля для спаривания; 3 петля; </w:t>
      </w:r>
    </w:p>
    <w:p w:rsidR="00000000" w:rsidRDefault="00AB324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4 - соединитель створок; 5 - компенса</w:t>
      </w:r>
      <w:r>
        <w:rPr>
          <w:rFonts w:ascii="Times New Roman" w:hAnsi="Times New Roman"/>
          <w:sz w:val="20"/>
        </w:rPr>
        <w:t>тор</w:t>
      </w:r>
    </w:p>
    <w:p w:rsidR="00000000" w:rsidRDefault="00AB324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Черт.21 </w:t>
      </w:r>
    </w:p>
    <w:p w:rsidR="00000000" w:rsidRDefault="00AB324B">
      <w:pPr>
        <w:pStyle w:val="a3"/>
        <w:rPr>
          <w:rFonts w:ascii="Times New Roman" w:hAnsi="Times New Roman"/>
        </w:rPr>
      </w:pP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 ТИПЫ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Габаритные размеры </w:t>
      </w:r>
      <w:proofErr w:type="spellStart"/>
      <w:r>
        <w:rPr>
          <w:rFonts w:ascii="Times New Roman" w:hAnsi="Times New Roman"/>
        </w:rPr>
        <w:t>деревоалюминиевых</w:t>
      </w:r>
      <w:proofErr w:type="spellEnd"/>
      <w:r>
        <w:rPr>
          <w:rFonts w:ascii="Times New Roman" w:hAnsi="Times New Roman"/>
        </w:rPr>
        <w:t xml:space="preserve"> окон и балконных дверей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 ТРЕБОВАНИЯ К КОНСТРУКЦИИ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Конструкция и основные размеры окон и балконных дверей с наружным алюминиевым переплетом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Черт.2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Черт.3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Черт.4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Черт.5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Черт.6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Черт.7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Черт.8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Черт.9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Черт.10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Черт.11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Черт.12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Черт.13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Черт.14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Конструкция и основные размеры окон и балконных дверей с наружным алюминиевым переплетом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Сечение 5 и 6 (для трехстворчатого окна)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Сечение 7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Сечение 8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Сечение 9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Сечение 10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ПРИЛОЖЕНИЕ (справочное). РАСПОЛОЖЕНИЕ ПРИБОРО</w:t>
      </w:r>
      <w:r>
        <w:rPr>
          <w:rFonts w:ascii="Times New Roman" w:hAnsi="Times New Roman"/>
        </w:rPr>
        <w:t>В НА АЛЮМИНИЕВЫХ ПЕРЕПЛЕТАХ В ДЕРЕВОАЛЮМИНИЕВЫХ ОКНАХ И БАЛКОННЫХ ДВЕРЯХ (ПРИМЕРЫ)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Черт.20</w:t>
      </w:r>
    </w:p>
    <w:p w:rsidR="00000000" w:rsidRDefault="00AB32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Черт.21</w:t>
      </w: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24B"/>
    <w:rsid w:val="00A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1887</Words>
  <Characters>10756</Characters>
  <Application>Microsoft Office Word</Application>
  <DocSecurity>0</DocSecurity>
  <Lines>89</Lines>
  <Paragraphs>25</Paragraphs>
  <ScaleCrop>false</ScaleCrop>
  <Company>Elcom Ltd</Company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27936-88  </dc:title>
  <dc:subject/>
  <dc:creator>Alexandre Katalov</dc:creator>
  <cp:keywords/>
  <dc:description/>
  <cp:lastModifiedBy>Parhomeiai</cp:lastModifiedBy>
  <cp:revision>2</cp:revision>
  <dcterms:created xsi:type="dcterms:W3CDTF">2013-04-11T10:53:00Z</dcterms:created>
  <dcterms:modified xsi:type="dcterms:W3CDTF">2013-04-11T10:53:00Z</dcterms:modified>
</cp:coreProperties>
</file>