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6682">
      <w:pPr>
        <w:ind w:firstLine="284"/>
        <w:jc w:val="right"/>
        <w:rPr>
          <w:rFonts w:ascii="Times New Roman" w:hAnsi="Times New Roman"/>
          <w:sz w:val="20"/>
          <w:lang w:val="en-US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23747-88</w:t>
      </w: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692.81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>691.771</w:t>
      </w:r>
      <w:r>
        <w:rPr>
          <w:rFonts w:ascii="Times New Roman" w:hAnsi="Times New Roman"/>
          <w:sz w:val="20"/>
          <w:lang w:val="en-US"/>
        </w:rPr>
        <w:t>:</w:t>
      </w:r>
      <w:r>
        <w:rPr>
          <w:rFonts w:ascii="Times New Roman" w:hAnsi="Times New Roman"/>
          <w:sz w:val="20"/>
        </w:rPr>
        <w:t>006.354                                                                                      Группа Ж34</w: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sz w:val="20"/>
        </w:rPr>
        <w:t xml:space="preserve">ГОСУДАРСТВЕННЫЙ СТАНДАРТ СОЮЗА ССР </w: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ДВЕРИ ИЗ АЛЮМИНИЕВЫХ СПЛАВОВ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Общие технические условия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Doors of aluminium allo</w:t>
      </w:r>
      <w:r>
        <w:rPr>
          <w:rFonts w:ascii="Times New Roman" w:hAnsi="Times New Roman"/>
          <w:sz w:val="20"/>
        </w:rPr>
        <w:t>ys.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Specifications </w:t>
      </w: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52 7120 </w:t>
      </w: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1989-01-01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ИНФОРМАЦИОННЫЕ ДАННЫЕ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РАЗРАБОТАН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Государственным комитетом по архитектуре и градостроительству при Госстрое СССР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Министерством монтажных и специальных строительных работ СССР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Е.Л.Угрюмов,  канд.  архит. (руководитель темы);  П.А.Калайда; В.В.Аникьев; А.А.Жиркова; О.А.Жадкевич; М.Б.Приймак; В.А.Новиков; В.Н.Спиров; А.А.Хайцер; В.Ф.Лагутин; В.В.Молошникова; Ф.Г.Даниленко; И.М.Карпилов; Н.Б.Жуковская; В.П.Поддубный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ВНЕСЕН</w:t>
      </w:r>
      <w:r>
        <w:rPr>
          <w:rFonts w:ascii="Times New Roman" w:hAnsi="Times New Roman"/>
          <w:sz w:val="20"/>
        </w:rPr>
        <w:t xml:space="preserve"> Государственным комитетом по архитектуре и градостроительству при Госстрое СССР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УТВЕРЖДЕН И ВВЕДЕН В ДЕЙСТВИЕ Постановлением Государственного строительного комитета СССР от 15.06.88 № 111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Срок проверки - 1995 г.; периодичность - 5 лет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ВЗАМЕН ГОСТ 23747-79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ССЫЛОЧНЫЕ НОРМАТИВНО-ТЕХНИЧЕСКИЕ ДОКУМЕНТЫ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6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380"/>
        <w:gridCol w:w="1985"/>
        <w:gridCol w:w="1985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НТД, на который дана ссылка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пункта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 НТД, на который дана ссылка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пункта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pStyle w:val="Heading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ГОСТ 9.031-74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2.2.4 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10354-82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9.032-74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2.2.4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12085-73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9.074-77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12172-74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9.104-79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Вводная часть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13489-79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9.301-86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2.2.4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14192-77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9.302-79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15150-69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Вводная часть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9.303-84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2.2.6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15907-70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166-80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16338-85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380-71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2.3.3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17308-88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ГОСТ 1050-74 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2.3.2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19729-74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2789-73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2.2.18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21631-76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2991-85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2.6.4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22233-83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2.2.15; 2.3.1; 2.3.5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5378-66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23616-79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5632-72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2.3.2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23832-79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75</w:t>
            </w:r>
            <w:r>
              <w:rPr>
                <w:rFonts w:ascii="Times New Roman" w:hAnsi="Times New Roman"/>
                <w:sz w:val="20"/>
              </w:rPr>
              <w:t>02-80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25797-83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8273-75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25891-83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2.2.2; 4.2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8828-75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2.6.2; 2.6.4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26254-84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ГОСТ 9378-75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СНиП 2.01.07-85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 2-034-225-87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СНиП 2.03.11-85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9569-79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2.6.2</w:t>
            </w:r>
          </w:p>
        </w:tc>
        <w:tc>
          <w:tcPr>
            <w:tcW w:w="1985" w:type="dxa"/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СНиП 11.3-79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</w:tr>
    </w:tbl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Переиздание. Январь 1990 г.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двери из алюминиевых сплавов (далее - двери) климатического исполнения УХЛ любой категории размещения, кроме пятой, по ГОСТ 15150-69, любой группы условий эксплуатации для изделий с лакокрасочным по</w:t>
      </w:r>
      <w:r>
        <w:rPr>
          <w:rFonts w:ascii="Times New Roman" w:hAnsi="Times New Roman"/>
          <w:sz w:val="20"/>
        </w:rPr>
        <w:t>крытием УХЛ по ГОСТ 9.104-79. Двери предназначены для установки в наружных и внутренних вертикальных строительных ограждающих конструкциях.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Стандарт не распространяется на двери, в которых алюминиевые сплавы не являются основным конструкционным материалом, а также на двери специального назначения (с повышенными требованиями к пожаробезопасности, дымозащите, звуко- и теплоизоляции и герметичности).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Основные параметры и размеры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Типы, размеры, конструкция и условные обозначения дверей устанавливают</w:t>
      </w:r>
      <w:r>
        <w:rPr>
          <w:rFonts w:ascii="Times New Roman" w:hAnsi="Times New Roman"/>
          <w:sz w:val="20"/>
        </w:rPr>
        <w:t xml:space="preserve"> нормативно-технической документацией на конструкции конкретных типов.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Двери должны изготавливаться в соответствии с требованиями настоящего стандарта, нормативно-технической документации на двери конкретных типов и по рабочим чертежам, утвержденным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Характеристики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2.2.1. Сопротивление теплопередаче дверей - по СНиП II-3-79.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2.2.2. Сопротивление воздухопроницанию дверей - по ГОСТ 25891-83 (см. приложение 1).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2.2.3. Двери должны обладать достаточ</w:t>
      </w:r>
      <w:r>
        <w:rPr>
          <w:rFonts w:ascii="Times New Roman" w:hAnsi="Times New Roman"/>
          <w:sz w:val="20"/>
        </w:rPr>
        <w:t>ной прочностью и устойчивостью в условиях транспортирования, монтажа и эксплуатации.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этом они должны выдерживать 100 000 циклов открывания и закрывания, а также ветровую нагрузку по СНиП 2.01.07-85 и статические нагрузки в соответствии с приложением 1 настоящего стандарта.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2.2.4. Детали конструкций дверей, за исключением вкладышей, должны иметь анодно-окисное или лакокрасочное защитно-декоративное покрытие.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Цвет покрытия согласовывают с предприятием-изготовителем и выбирают по эталонам, утвержденным в у</w:t>
      </w:r>
      <w:r>
        <w:rPr>
          <w:rFonts w:ascii="Times New Roman" w:hAnsi="Times New Roman"/>
          <w:sz w:val="20"/>
        </w:rPr>
        <w:t>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Внешний вид и толщина анодно-окисного покрытия - соответственно по ГОСТ 9.301-86 и ГОСТ 9.031-74.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Лакокрасочное покрытие должно соответствовать III классу по ГОСТ 9.032-74. Толщина слоя - не менее 70 мкм.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отсутствие анодно-окисного и лакокрасочного покрытий в местах механической обработки деталей на нелицевых поверхностях конструкций и во внутренних плоскостях деталей из полого профиля.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2.2.5. Не допускается нанесение анодно-окисного, цинкового или кадмиевого покрытий на из</w:t>
      </w:r>
      <w:r>
        <w:rPr>
          <w:rFonts w:ascii="Times New Roman" w:hAnsi="Times New Roman"/>
          <w:sz w:val="20"/>
        </w:rPr>
        <w:t>делия в собранном виде.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2.2.6. Крепежные изделия и детали из углеродистой стали, соприкасающиеся с алюминиевыми элементами, должны иметь цинковое или кадмиевое покрытие по ГОСТ 9.303-84 толщиной не менее 9 мкм.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2.2.7. Размер по высоте несветопрозрачной нижней части дверного полотна должен быть не более 1000 мм.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2.2.8. Двери с полностью остекленными полотнами без автоматического открывания, устанавливаемые в местах с интенсивными людскими потоками (вокзалы, аэропорты и др.) оборудуют решетками, предохраняющи</w:t>
      </w:r>
      <w:r>
        <w:rPr>
          <w:rFonts w:ascii="Times New Roman" w:hAnsi="Times New Roman"/>
          <w:sz w:val="20"/>
        </w:rPr>
        <w:t>ми остекление от повреждения.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2.2.9. Усилие, прикладываемое к полотну двери для его открывания, не должно превышать 50 Н.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2.2.10. Закрепление запирающих устройств должно обеспечивать невозможность их демонтажа с наружной стороны.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2.2.11. Конструкция двери должна исключать возможность демонтажа полотна или его заполнения с наружной стороны.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2.2.12. Предельные отклонения размеров каркасов коробок и полотен дверей в собранном виде не должны превышать значений, указанных в табл. 1.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6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355"/>
        <w:gridCol w:w="2325"/>
        <w:gridCol w:w="24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Номинальные р</w:t>
            </w:r>
            <w:r>
              <w:rPr>
                <w:rFonts w:ascii="Times New Roman" w:hAnsi="Times New Roman"/>
                <w:sz w:val="20"/>
              </w:rPr>
              <w:t xml:space="preserve">азмеры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предельных отклонений,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внутренних размеров каркасов коробок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наружных размеров каркасов полотен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500</w:t>
            </w:r>
          </w:p>
        </w:tc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4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500  " 2000</w:t>
            </w:r>
          </w:p>
        </w:tc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+1,0</w:t>
            </w:r>
          </w:p>
        </w:tc>
        <w:tc>
          <w:tcPr>
            <w:tcW w:w="24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2000  " 3000</w:t>
            </w:r>
          </w:p>
        </w:tc>
        <w:tc>
          <w:tcPr>
            <w:tcW w:w="23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+1,5</w:t>
            </w:r>
          </w:p>
        </w:tc>
        <w:tc>
          <w:tcPr>
            <w:tcW w:w="24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-1,5</w:t>
            </w:r>
          </w:p>
        </w:tc>
      </w:tr>
    </w:tbl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2.2.13. Перепад лицевых поверхностей коробки и полотна двери относительно друг друга, установка которых предусмотрена в одной плоскости, не должен быть более 2,0 мм.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2.2.14. Разность длин диагоналей коробок и полотен не должна быть более 3 мм.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2.2.15. Перепад лицевых поверхностей сопрягаемых алюминиевых пр</w:t>
      </w:r>
      <w:r>
        <w:rPr>
          <w:rFonts w:ascii="Times New Roman" w:hAnsi="Times New Roman"/>
          <w:sz w:val="20"/>
        </w:rPr>
        <w:t>офилей не должен превышать устанавливаемых ГОСТ 22233-83 допусков на размер соединяемых сторон профиля.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2.2.16. Зазоры на лицевых поверхностях конструкций в местах соединения деталей не должны быть более 0,3 мм. Допускается увеличение зазора до 1,0 мм, но с последующей герметизацией стыка. Зазоры в местах соединения линейных элементов крепления заполнения (штапиков) допускается не герметизировать.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2.2.17. Предельное отклонение угла реза при размере разрезаемой стороны профиля до 50 мм не должно быть более ±</w:t>
      </w:r>
      <w:r>
        <w:rPr>
          <w:rFonts w:ascii="Times New Roman" w:hAnsi="Times New Roman"/>
          <w:sz w:val="20"/>
        </w:rPr>
        <w:t>20’, при размере разрезаемой стороны профиля свыше 50 мм - более ±15</w:t>
      </w:r>
      <w:r>
        <w:rPr>
          <w:rFonts w:ascii="Times New Roman" w:hAnsi="Times New Roman"/>
          <w:i/>
          <w:sz w:val="20"/>
        </w:rPr>
        <w:t>’</w:t>
      </w:r>
      <w:r>
        <w:rPr>
          <w:rFonts w:ascii="Times New Roman" w:hAnsi="Times New Roman"/>
          <w:sz w:val="20"/>
        </w:rPr>
        <w:t>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2.2.18. Шероховатость поверхностей профилей, выходящих на лицевую сторону изделий и подверженных механической обработке, должна быть </w:t>
      </w:r>
      <w:r>
        <w:rPr>
          <w:rFonts w:ascii="Times New Roman" w:hAnsi="Times New Roman"/>
          <w:position w:val="-7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15.7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мкм по ГОСТ 2789-73.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2.2.19. В местах сопряжения каркаса полотна с элементами заполнения, а также в притворах должны быть установлены по периметру уплотнительные прокладки без применения клея.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Уплотнительные прокладки должны быть непрерывными в пределах каждой стороны периметра. По требованию потребителя </w:t>
      </w:r>
      <w:r>
        <w:rPr>
          <w:rFonts w:ascii="Times New Roman" w:hAnsi="Times New Roman"/>
          <w:sz w:val="20"/>
        </w:rPr>
        <w:t>допускается в местах установки заполнения вместо уплотнительных прокладок применять герметик.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2.2.20. При закрытом положении полотна уплотнительные прокладки в притворах должны быть прижаты без зазора.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2.2.21. Заполнение каркаса полотна двери должно устанавливаться на опорных и фиксирующих подкладках, имеющих ширину не менее толщины применяемого заполнения, высоту не менее 3 мм и длину не менее 80 мм. Схемы размещения опорных и фиксирующих подкладок под стекло приведены в приложении 2.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Требования к мат</w:t>
      </w:r>
      <w:r>
        <w:rPr>
          <w:rFonts w:ascii="Times New Roman" w:hAnsi="Times New Roman"/>
          <w:sz w:val="20"/>
        </w:rPr>
        <w:t>ериалам и комплектующим изделиям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2.3.1. Каркасы дверей должны изготавливаться из алюминиевых прессованных профилей по ГОСТ 22233-83. Для выполнения требований настоящего стандарта профили должны подвергаться правке с целью уменьшения продольной кривизны и угла скручивания.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2.3.2. Крепежные изделия (болты, винты, гайки, шайбы) и оси петель должны изготавливаться из стали марок 20Х13 и 12Х13 по ГОСТ 5632-72 или других марок нержавеющей стали по ГОСТ 5632-72.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согласованию изготовителя с потребителем допуска</w:t>
      </w:r>
      <w:r>
        <w:rPr>
          <w:rFonts w:ascii="Times New Roman" w:hAnsi="Times New Roman"/>
          <w:sz w:val="20"/>
        </w:rPr>
        <w:t>ется изготовление крепежных изделий и осей петель из стали марок 08кп, 10кп, 20кп, 10, 20, 40 по ГОСТ 1050-74.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2.3.3. Стальные детали, входящие в состав конструкции дверей, должны быть изготовлены из стали марки С235 по ГОСТ 27772-88 (с 01.01.89) или Ст3кп2-1, свариваемой по ГОСТ 535-88, а также из стали других марок, физико-механические свойства которых не ниже указанной.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2.3.4. Для светопрозрачного заполнения каркаса дверных полотен следует применять стекла и стеклопакеты, изготовленные по нормативно-техн</w:t>
      </w:r>
      <w:r>
        <w:rPr>
          <w:rFonts w:ascii="Times New Roman" w:hAnsi="Times New Roman"/>
          <w:sz w:val="20"/>
        </w:rPr>
        <w:t>ической документации, утвержденной в установленном порядке. При этом толщина стекол должна быть 5-6 мм, стеклопакетов 15-28 мм.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полотнах дверей со сплошным светопрозрачным заполнением непосредственно на остеклении должны наноситься специальные декоративные знаки, расположенные на высоте не ниже 1 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2.3.5. Для несветопрозрачного заполнения каркаса дверных полотен следует применять: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листы, изготавливаемые из алюминия марок АМг2, АМц по ГОСТ 21631-76;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прессованные профили постоянного сечения из алюминиевог</w:t>
      </w:r>
      <w:r>
        <w:rPr>
          <w:rFonts w:ascii="Times New Roman" w:hAnsi="Times New Roman"/>
          <w:sz w:val="20"/>
        </w:rPr>
        <w:t>о сплава АД31 по ГОСТ 22233-83.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применять другие материалы толщиной 5-6 мм из числа разрешенных органами государственного санитарного надзора, изготовленными в соответствии с требованиями нормативно-технической документации, утвержденной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2.3.6. Опорные и фиксирующие подкладки должны быть изготовлены из полиэтилена низкого давления любого сорта по ГОСТ 16338-85, а также из озономорозостойкой резины повышенной твердости, древесины, пропитанной антисептиком, в соответствии </w:t>
      </w:r>
      <w:r>
        <w:rPr>
          <w:rFonts w:ascii="Times New Roman" w:hAnsi="Times New Roman"/>
          <w:sz w:val="20"/>
        </w:rPr>
        <w:t>с требованиями нормативно-технической документации, утвержденной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2.3.7. Уплотнительные прокладки должны быть изготовлены из светоозономорозостойкой резины или пластмасс из числа разрешенных органами государственного санитарного надзора в соответствии с требованиями нормативно-технической документации, утвержденной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2.3.8. Для герметизации стыков в местах соединения деталей из алюминиевых сплавов следует применять герметик марки УТ-31 по ГОСТ 13489-79 или маст</w:t>
      </w:r>
      <w:r>
        <w:rPr>
          <w:rFonts w:ascii="Times New Roman" w:hAnsi="Times New Roman"/>
          <w:sz w:val="20"/>
        </w:rPr>
        <w:t>ики по нормативно-технической документации, утвержденной в установленном порядке, разрешенные органами государственного санитарного надзора и не вызывающие коррозии алюминиевых сплавов.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2.3.9. Крепежные изделия с метрической резьбой в неразъемных соединениях следует устанавливать на клею марок БФ-2, БФ-4 по ГОСТ 12172-74, лаках марок ПФ-170, ПФ-171 по ГОСТ 15907-70; марок АК113, АК113Ф по ГОСТ 23832-79 или других лаках, разрешенных органами государственного санитарного надзора.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2.3.10. Приборы для дверей до</w:t>
      </w:r>
      <w:r>
        <w:rPr>
          <w:rFonts w:ascii="Times New Roman" w:hAnsi="Times New Roman"/>
          <w:sz w:val="20"/>
        </w:rPr>
        <w:t>лжны соответствовать требованиям ГОСТ 25979-83 и нормативно-технической документации на приборы конкретных типов.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Комплектность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2.4.1. Комплект поставки изделий определяется требованиями нормативно-технической документации на конструкции конкретных типов.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приборы, детали, выступающие относительно плоскости двери, опорные и фиксирующие подкладки, штапики, конструкции крепления не устанавливать, а поставлять в комплекте с изделиями.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Маркировка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2.5.1. На нелицевой поверхности каждого изде</w:t>
      </w:r>
      <w:r>
        <w:rPr>
          <w:rFonts w:ascii="Times New Roman" w:hAnsi="Times New Roman"/>
          <w:sz w:val="20"/>
        </w:rPr>
        <w:t>лия или на бирке должны быть нанесены: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товарный знак предприятия-изготовителя;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изделия;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изготовления;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ОТК.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2.5.2. Маркировку грузовых мест следует производить в соответствии с требованиями ГОСТ 14192-77.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2.5.3. Способ исполнения и дополнительные требования к маркировке устанавливают в нормативно-технической документации на конструкции конкретных типов.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Упаковка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2.6.1. Каждая дверь с распашными полотнами перед упаковкой должна быть закрыта на замок.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2.6.2. При укладке в тару каждая две</w:t>
      </w:r>
      <w:r>
        <w:rPr>
          <w:rFonts w:ascii="Times New Roman" w:hAnsi="Times New Roman"/>
          <w:sz w:val="20"/>
        </w:rPr>
        <w:t>рь или группа дверей должна быть обернута одним слоем двухслойной упаковочной бумаги по ГОСТ 8828-75 или парафинированной бумаги по ГОСТ 9569-79 и обвязана шпагатом по ГОСТ 17308-88 с шагом витков 300-350 мм.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укладке в тару группы дверей между изделиями должен быть проложен слой бумаги по ГОСТ 8273-75.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2.6.3. Двери должны быть уложены в тару, предохраняющую изделия от  искривления и механических повреждений, изготовленную по рабочим чертежам, утвержденным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Число изделий и способы</w:t>
      </w:r>
      <w:r>
        <w:rPr>
          <w:rFonts w:ascii="Times New Roman" w:hAnsi="Times New Roman"/>
          <w:sz w:val="20"/>
        </w:rPr>
        <w:t xml:space="preserve"> их укладки в таре должны обеспечить их сохранность при погрузочно-разгрузочных работах и транспортировании различными видами транспорта.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2.6.4. Неустановленные на двери приборы или части приборов, штапики и крепежные изделия должны быть завернуты в двухслойную упаковочную бумагу по ГОСТ 8828-75 или уложены в пакеты из полиэтиленовой пленки по ГОСТ 10354-82 и упакованы в тару совместно с конструкцией.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укладка деталей приборов и крепежных изделий в отдельную тару по ГОСТ 2991-85, а покупные издел</w:t>
      </w:r>
      <w:r>
        <w:rPr>
          <w:rFonts w:ascii="Times New Roman" w:hAnsi="Times New Roman"/>
          <w:sz w:val="20"/>
        </w:rPr>
        <w:t>ия, входящие в комплект поставки и не установленные в конструкции, оставлять в упаковке предприятия-изготовителя.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2.6.5. Каждая партия должна иметь сопроводительный документ, вид и форма которого, а также порядок и сроки направления этих документов потребителю устанавливают условиями поставки или договором.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Приемка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3.1. Двери принимают партиями. Партия должна состоять из дверей одной марки, изготовленных по одному технологическому процессу. Объем партии не более 200 шт.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Для проверки соответс</w:t>
      </w:r>
      <w:r>
        <w:rPr>
          <w:rFonts w:ascii="Times New Roman" w:hAnsi="Times New Roman"/>
          <w:sz w:val="20"/>
        </w:rPr>
        <w:t>твия изделий требованиям настоящего стандарта и рабочим чертежам на предприятии-изготовителе следует проводить приемо-сдаточные, периодические и типовые испытания.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3.3. При приемо-сдаточных испытаниях применяют двухступенчатый контроль согласно ГОСТ 23616-79, на соответствие требованиям, приведенным в пп. 2.2.4; 2.2.12-2.2.15; 2.2.18; 2.4; 2.6, для чего от партии отбирают изделия в выборку в соответствии с табл. 2.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270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620"/>
        <w:gridCol w:w="1545"/>
        <w:gridCol w:w="1395"/>
        <w:gridCol w:w="1635"/>
        <w:gridCol w:w="17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партии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выборки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выборки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Приемочное число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Браковочное число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 25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26   "   90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 91   "  200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D6682">
            <w:pPr>
              <w:ind w:firstLine="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</w:tbl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Периодическим испытаниям должны подвергаться изделия не менее раза в два года на соответствие требованиям всех пунктов настоящего стандарта, за исключением пп. 2.2.1 и 2.2.2.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постановке дверей на производство испытания должны проводиться на соответствие требованиям всех пунктов настоящего стандарта.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При внесении изменений в конструкцию дверей или технологию изготовления проводят типовые испытания, объем котор</w:t>
      </w:r>
      <w:r>
        <w:rPr>
          <w:rFonts w:ascii="Times New Roman" w:hAnsi="Times New Roman"/>
          <w:sz w:val="20"/>
        </w:rPr>
        <w:t>ых определяет разработчик конструкторской и технологической документации.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Методы контроля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Сопротивление теплопередаче дверей (п. 2.2.1) определяют по ГОСТ 26254-84.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Сопротивление воздухопроницаемости дверей (п. 2.2.2) определяют по ГОСТ 25891-83.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Двери на статические и ветровую нагрузки (п. 2.2.3) проверяют по программе и методике испытаний, утвержденной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Работу подвижных соединений (п. 2.2.3) проверяют контрольным открыванием и закрыванием полотен дверей.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>
        <w:rPr>
          <w:rFonts w:ascii="Times New Roman" w:hAnsi="Times New Roman"/>
          <w:sz w:val="20"/>
        </w:rPr>
        <w:t>.5. Защитно-декоративное покрытие (п. 2.2.4) проверяют по ГОСТ 9.302-79 и ГОСТ 9.074-77.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Геометрические размеры (пп. 2.2.7; 2.2.12-2.2.17) проверяют штангенциркулем ШЦ-III по ГОСТ 166-80, угломером по ГОСТ 5378-66, рулеткой II класса точности по ГОСТ 7502-80, щупом по ТУ 2-034-225-87 или шаблоном предприятия - изготовителя, утвержденным в установленном порядке.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Качество поверхностей профилей механической обработки (п.2.2.18) проверяют методом сравнения с эталонами шероховатости по ГОСТ 9378-75.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</w:t>
      </w:r>
      <w:r>
        <w:rPr>
          <w:rFonts w:ascii="Times New Roman" w:hAnsi="Times New Roman"/>
          <w:sz w:val="20"/>
        </w:rPr>
        <w:t>8. Наличие уплотнительных прокладок (п. 2.2.19) проверяют визуально.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4.9. Плотность прижатия уплотнительных прокладок к притворам (п. 2.2.20) проверяют по наличию непрерывного следа, оставленного красящим веществом, наносимым на поверхность уплотнителя.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качестве красящего вещества следует применять мел по ГОСТ 12085-73, тальк по ГОСТ 19729-74 или другие вещества, не повреждающие конструкцию и легко удаляемые после проведения контроля.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4.10. Соответствие марок и качество материалов (пп. 2.3.1-2.3.10) прове</w:t>
      </w:r>
      <w:r>
        <w:rPr>
          <w:rFonts w:ascii="Times New Roman" w:hAnsi="Times New Roman"/>
          <w:sz w:val="20"/>
        </w:rPr>
        <w:t xml:space="preserve">ряют по сертификатам предприятий-изготовителей.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Транспортирование и хранение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Транспортирование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5.1.1. Изделия транспортируют всеми видами транспорта в соответствии с Правилами перевозок грузов, действующими на данном виде транспорта.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5.1.2. Размещение и крепление грузовых мест на железнодорожном транспорте должно производиться в полном соответствии с "Техническими условиями погрузки и крепления грузов", утвержденными Министерством путей сообщения СССР.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Хранение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Изделия должны храниться</w:t>
      </w:r>
      <w:r>
        <w:rPr>
          <w:rFonts w:ascii="Times New Roman" w:hAnsi="Times New Roman"/>
          <w:sz w:val="20"/>
        </w:rPr>
        <w:t xml:space="preserve"> в сухих вентилируемых помещениях на деревянных подкладках, рассортированными по типам и размерам. Между изделиями, уложенными в штабели, должны быть деревянные прокладки.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Указания по эксплуатации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Элементы конструкций дверей и детали крепления из алюминиевого сплава в местах примыканий к кирпичной кладке, бетону, штукатурке, стали и т.п. должны быть защищены от коррозии согласно указаний СНиП 2.03.11-85.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Эксплуатация дверей - согласно требованиям паспорта и инструкции по монтажу и эксплуатац</w:t>
      </w:r>
      <w:r>
        <w:rPr>
          <w:rFonts w:ascii="Times New Roman" w:hAnsi="Times New Roman"/>
          <w:sz w:val="20"/>
        </w:rPr>
        <w:t>ии.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Гарантии изготовителя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Гарантийный срок эксплуатации устанавливается в стандартах или нормативно-технической документации на конструкции конкретных типов.     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1</w:t>
      </w: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Обязательное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 xml:space="preserve">Схемы приложения нагрузок 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6" type="#_x0000_t75" style="width:349.5pt;height:521.25pt">
            <v:imagedata r:id="rId5" o:title=""/>
          </v:shape>
        </w:pic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2</w:t>
      </w:r>
    </w:p>
    <w:p w:rsidR="00000000" w:rsidRDefault="005D6682">
      <w:pPr>
        <w:ind w:firstLine="284"/>
        <w:jc w:val="right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Обязательное</w:t>
      </w:r>
    </w:p>
    <w:p w:rsidR="00000000" w:rsidRDefault="005D6682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СХЕМЫ РАЗМЕЩЕНИЯ ПОДКЛАДОК ПОД СТЕКЛО </w:t>
      </w:r>
    </w:p>
    <w:p w:rsidR="00000000" w:rsidRDefault="005D6682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356.25pt;height:467.25pt">
            <v:imagedata r:id="rId6" o:title=""/>
          </v:shape>
        </w:pic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8" type="#_x0000_t75" style="width:224.25pt;height:264.75pt">
            <v:imagedata r:id="rId7" o:title=""/>
          </v:shape>
        </w:pic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1 - опорная подкладка; 2 - фиксирующая подкладка; 3 - светопрозрачное заполнение; </w: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4 - несветопрозрачное заполнение</w:t>
      </w:r>
    </w:p>
    <w:p w:rsidR="00000000" w:rsidRDefault="005D6682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 2</w:t>
      </w:r>
    </w:p>
    <w:p w:rsidR="00000000" w:rsidRDefault="005D6682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параметры и размеры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Технические</w:t>
      </w:r>
      <w:r>
        <w:rPr>
          <w:rFonts w:ascii="Times New Roman" w:hAnsi="Times New Roman"/>
        </w:rPr>
        <w:t xml:space="preserve"> требования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Приемка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Методы контроля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Транспортирование и хранение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Указания по эксплуатации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Гарантии изготовителя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 (обязательное). Схемы приложения нагрузок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Черт.1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 (обязательное). СХЕМЫ РАЗМЕЩЕНИЯ ПОДКЛАДОК ПОД СТЕКЛО</w:t>
      </w:r>
    </w:p>
    <w:p w:rsidR="00000000" w:rsidRDefault="005D6682">
      <w:pPr>
        <w:pStyle w:val="a3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Черт. 2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682"/>
    <w:rsid w:val="005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2599</Words>
  <Characters>14817</Characters>
  <Application>Microsoft Office Word</Application>
  <DocSecurity>0</DocSecurity>
  <Lines>123</Lines>
  <Paragraphs>34</Paragraphs>
  <ScaleCrop>false</ScaleCrop>
  <Company>Elcom Ltd</Company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23747-88</dc:title>
  <dc:subject/>
  <dc:creator>CNTI</dc:creator>
  <cp:keywords/>
  <dc:description/>
  <cp:lastModifiedBy>Parhomeiai</cp:lastModifiedBy>
  <cp:revision>2</cp:revision>
  <dcterms:created xsi:type="dcterms:W3CDTF">2013-04-11T10:53:00Z</dcterms:created>
  <dcterms:modified xsi:type="dcterms:W3CDTF">2013-04-11T10:53:00Z</dcterms:modified>
</cp:coreProperties>
</file>