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10944-75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621.646.6(083.74)                                                                                                      Группа Ж21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Краны регулирующие для нагревательных приборов 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 водяного отопл</w:t>
      </w:r>
      <w:r>
        <w:rPr>
          <w:rFonts w:ascii="Times New Roman" w:hAnsi="Times New Roman"/>
          <w:sz w:val="20"/>
        </w:rPr>
        <w:t>ения зданий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Control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valves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the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heating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installations</w:t>
      </w:r>
      <w:proofErr w:type="spellEnd"/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water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heating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systems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buildings</w:t>
      </w:r>
      <w:proofErr w:type="spellEnd"/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Дата введения 1976-07-01 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кранов </w:t>
      </w:r>
      <w:r>
        <w:rPr>
          <w:rFonts w:ascii="Times New Roman" w:hAnsi="Times New Roman"/>
          <w:sz w:val="20"/>
          <w:lang w:val="en-US"/>
        </w:rPr>
        <w:t>D</w:t>
      </w:r>
      <w:r>
        <w:rPr>
          <w:rFonts w:ascii="Times New Roman" w:hAnsi="Times New Roman"/>
          <w:sz w:val="20"/>
          <w:vertAlign w:val="subscript"/>
        </w:rPr>
        <w:t xml:space="preserve">У </w:t>
      </w:r>
      <w:r>
        <w:rPr>
          <w:rFonts w:ascii="Times New Roman" w:hAnsi="Times New Roman"/>
          <w:sz w:val="20"/>
        </w:rPr>
        <w:t>10 мм - 1978-01-01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Совета Министров СССР по делам строительства от 17 октября 1975 г. № 176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ВЗАМЕН ГОСТ 10944-64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Апрель 1995 г.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краны, предназначенные для ручного регулирования теплоотдачи нагревательных приборов в системах водяного отопления зд</w:t>
      </w:r>
      <w:r>
        <w:rPr>
          <w:rFonts w:ascii="Times New Roman" w:hAnsi="Times New Roman"/>
          <w:sz w:val="20"/>
        </w:rPr>
        <w:t xml:space="preserve">аний при температуре теплоносителя до 423 К (150°С) и рабочем давлении до 1,0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(10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  <w:vertAlign w:val="superscript"/>
          <w:lang w:val="en-US"/>
        </w:rPr>
        <w:t>2</w:t>
      </w:r>
      <w:r>
        <w:rPr>
          <w:rFonts w:ascii="Times New Roman" w:hAnsi="Times New Roman"/>
          <w:sz w:val="20"/>
        </w:rPr>
        <w:t>).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Типы и основные размеры </w:t>
      </w:r>
    </w:p>
    <w:p w:rsidR="00000000" w:rsidRDefault="00C1378E">
      <w:pPr>
        <w:widowControl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Краны должны изготавливаться следующих типов, указанных в табл. 1.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2357"/>
        <w:gridCol w:w="20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Обозначение типа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Рекомендуемая область применения 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крана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КРТ</w:t>
            </w:r>
          </w:p>
        </w:tc>
        <w:tc>
          <w:tcPr>
            <w:tcW w:w="2410" w:type="dxa"/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Кран регулирующий трехходовой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однотрубных систем отопления </w:t>
            </w:r>
          </w:p>
        </w:tc>
        <w:tc>
          <w:tcPr>
            <w:tcW w:w="2037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Потребительское регулирование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КРП</w:t>
            </w:r>
          </w:p>
        </w:tc>
        <w:tc>
          <w:tcPr>
            <w:tcW w:w="2410" w:type="dxa"/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Кран регулирующий проходной</w:t>
            </w:r>
          </w:p>
        </w:tc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 же </w:t>
            </w:r>
          </w:p>
        </w:tc>
        <w:tc>
          <w:tcPr>
            <w:tcW w:w="2037" w:type="dxa"/>
            <w:tcBorders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 же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КРД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Кран регулирующий двойной регулировки</w:t>
            </w:r>
          </w:p>
        </w:tc>
        <w:tc>
          <w:tcPr>
            <w:tcW w:w="2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двухтрубных систем отоп</w:t>
            </w:r>
            <w:r>
              <w:rPr>
                <w:rFonts w:ascii="Times New Roman" w:hAnsi="Times New Roman"/>
                <w:sz w:val="20"/>
              </w:rPr>
              <w:t xml:space="preserve">ления </w:t>
            </w:r>
          </w:p>
        </w:tc>
        <w:tc>
          <w:tcPr>
            <w:tcW w:w="2037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Монтажное и потребительское регулирование </w:t>
            </w:r>
          </w:p>
        </w:tc>
      </w:tr>
    </w:tbl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Краны всех типов в зависимости от конструктивного решения регулирующего устройства могут быть шиберными (Ш), вентильными (В), пробковыми (П) и дроссельными (Д).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Краны типов КРП и КРД в зависимости от монтажного положения должны изготавливаться только в универсальном исполнении - пригодными для установки на правой и левой подводках.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Краны типа КРТ могут изготавливаться как в универсальном, так и в одностороннем исполнении - для установки только на</w:t>
      </w:r>
      <w:r>
        <w:rPr>
          <w:rFonts w:ascii="Times New Roman" w:hAnsi="Times New Roman"/>
          <w:sz w:val="20"/>
        </w:rPr>
        <w:t xml:space="preserve"> правой (</w:t>
      </w:r>
      <w:proofErr w:type="spellStart"/>
      <w:r>
        <w:rPr>
          <w:rFonts w:ascii="Times New Roman" w:hAnsi="Times New Roman"/>
          <w:sz w:val="20"/>
        </w:rPr>
        <w:t>п</w:t>
      </w:r>
      <w:proofErr w:type="spellEnd"/>
      <w:r>
        <w:rPr>
          <w:rFonts w:ascii="Times New Roman" w:hAnsi="Times New Roman"/>
          <w:sz w:val="20"/>
        </w:rPr>
        <w:t>) или только на левой (л) подводке.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Примеры возможных конструктивных решений кранов приведены в приложении к настоящему стандарту.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Основные размеры кранов должны соответствовать указанным в табл. 2.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5"/>
        <w:gridCol w:w="1190"/>
        <w:gridCol w:w="908"/>
        <w:gridCol w:w="1218"/>
        <w:gridCol w:w="1134"/>
        <w:gridCol w:w="212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крана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Условный проход </w:t>
            </w:r>
            <w:r>
              <w:rPr>
                <w:rFonts w:ascii="Times New Roman" w:hAnsi="Times New Roman"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vertAlign w:val="subscript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, мм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Длина, мм, не более 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Высота над осью трубопровода, мм, не более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Диаметр шпинделя,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Резьба присоединительного конца, трубная, дюймы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справочная, кг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1218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3/8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КРТ </w:t>
            </w:r>
          </w:p>
        </w:tc>
        <w:tc>
          <w:tcPr>
            <w:tcW w:w="119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</w:tc>
        <w:tc>
          <w:tcPr>
            <w:tcW w:w="1218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1/2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1218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3/4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3/8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КРП</w:t>
            </w:r>
          </w:p>
        </w:tc>
        <w:tc>
          <w:tcPr>
            <w:tcW w:w="119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</w:tc>
        <w:tc>
          <w:tcPr>
            <w:tcW w:w="1218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1/2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90" w:type="dxa"/>
            <w:tcBorders>
              <w:top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3/4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1218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3/8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КРД</w:t>
            </w:r>
          </w:p>
        </w:tc>
        <w:tc>
          <w:tcPr>
            <w:tcW w:w="119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</w:t>
            </w:r>
          </w:p>
        </w:tc>
        <w:tc>
          <w:tcPr>
            <w:tcW w:w="1218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1/2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9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18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3/4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0,50 </w:t>
            </w:r>
          </w:p>
        </w:tc>
      </w:tr>
    </w:tbl>
    <w:p w:rsidR="00000000" w:rsidRDefault="00C1378E">
      <w:pPr>
        <w:widowControl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условного обозначения трехходового регулирующего крана в универсальном исполнении, с условным проходом</w:t>
      </w:r>
      <w:r>
        <w:rPr>
          <w:rFonts w:ascii="Times New Roman" w:hAnsi="Times New Roman"/>
          <w:sz w:val="20"/>
          <w:lang w:val="en-US"/>
        </w:rPr>
        <w:t xml:space="preserve"> D</w:t>
      </w:r>
      <w:r>
        <w:rPr>
          <w:rFonts w:ascii="Times New Roman" w:hAnsi="Times New Roman"/>
          <w:sz w:val="20"/>
          <w:vertAlign w:val="subscript"/>
        </w:rPr>
        <w:t>У</w:t>
      </w:r>
      <w:r>
        <w:rPr>
          <w:rFonts w:ascii="Times New Roman" w:hAnsi="Times New Roman"/>
          <w:sz w:val="20"/>
        </w:rPr>
        <w:t xml:space="preserve"> 20 мм, с вентильным регулирующим устройством:</w:t>
      </w:r>
    </w:p>
    <w:p w:rsidR="00000000" w:rsidRDefault="00C1378E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Кран КРТВ 20 ГОСТ 10944-75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 же, в одностороннем исполнении, для установки на правой подводке: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Кран </w:t>
      </w:r>
      <w:proofErr w:type="spellStart"/>
      <w:r>
        <w:rPr>
          <w:rFonts w:ascii="Times New Roman" w:hAnsi="Times New Roman"/>
          <w:i/>
          <w:sz w:val="20"/>
        </w:rPr>
        <w:t>КРТВ</w:t>
      </w:r>
      <w:r>
        <w:rPr>
          <w:rFonts w:ascii="Times New Roman" w:hAnsi="Times New Roman"/>
          <w:i/>
          <w:sz w:val="20"/>
          <w:lang w:val="en-US"/>
        </w:rPr>
        <w:t>n</w:t>
      </w:r>
      <w:proofErr w:type="spellEnd"/>
      <w:r>
        <w:rPr>
          <w:rFonts w:ascii="Times New Roman" w:hAnsi="Times New Roman"/>
          <w:i/>
          <w:sz w:val="20"/>
        </w:rPr>
        <w:t xml:space="preserve"> 20 ГОСТ 10944-75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проходного регулирующего крана, с условным проходом </w:t>
      </w:r>
      <w:proofErr w:type="spellStart"/>
      <w:r>
        <w:rPr>
          <w:rFonts w:ascii="Times New Roman" w:hAnsi="Times New Roman"/>
          <w:sz w:val="20"/>
          <w:lang w:val="en-US"/>
        </w:rPr>
        <w:t>D</w:t>
      </w:r>
      <w:r>
        <w:rPr>
          <w:rFonts w:ascii="Times New Roman" w:hAnsi="Times New Roman"/>
          <w:sz w:val="20"/>
        </w:rPr>
        <w:t>у</w:t>
      </w:r>
      <w:proofErr w:type="spellEnd"/>
      <w:r>
        <w:rPr>
          <w:rFonts w:ascii="Times New Roman" w:hAnsi="Times New Roman"/>
          <w:sz w:val="20"/>
          <w:vertAlign w:val="subscript"/>
          <w:lang w:val="en-US"/>
        </w:rPr>
        <w:t xml:space="preserve"> </w:t>
      </w:r>
      <w:r>
        <w:rPr>
          <w:rFonts w:ascii="Times New Roman" w:hAnsi="Times New Roman"/>
          <w:sz w:val="20"/>
        </w:rPr>
        <w:t>15 мм, с пробковым регулирующим устройством:</w:t>
      </w:r>
    </w:p>
    <w:p w:rsidR="00000000" w:rsidRDefault="00C1378E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Кран КРПП 15 ГОСТ 10944-75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регулирующего крана двойной регулировки, с условным проходом </w:t>
      </w:r>
      <w:proofErr w:type="spellStart"/>
      <w:r>
        <w:rPr>
          <w:rFonts w:ascii="Times New Roman" w:hAnsi="Times New Roman"/>
          <w:sz w:val="20"/>
          <w:lang w:val="en-US"/>
        </w:rPr>
        <w:t>Dy</w:t>
      </w:r>
      <w:proofErr w:type="spellEnd"/>
      <w:r>
        <w:rPr>
          <w:rFonts w:ascii="Times New Roman" w:hAnsi="Times New Roman"/>
          <w:sz w:val="20"/>
        </w:rPr>
        <w:t xml:space="preserve"> 15 мм, с шиберным регулирующим устройством:</w:t>
      </w:r>
    </w:p>
    <w:p w:rsidR="00000000" w:rsidRDefault="00C1378E">
      <w:pPr>
        <w:widowControl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Кран КРДШ 15 ГОСТ 10944-75</w:t>
      </w: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Краны должны изготавливаться в соответствии с требованиями настоящего стандарта по рабочим чертежам, утвержденным в установленном порядке.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Конструкция регулирующего устройства крана должна обеспечивать плавное изменение теплоотдачи нагревательного прибора.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На корпусе или регулирующем устройстве крана типа КРД для определения положения регулирующего устройства при монтажном регулировании должна быть нанесена градуировка, соответствующая паспортным характеристикам крана.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рукоятках кранов всех типов должны быть нанесены необходимые указатели для потребительского регулирования.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Краны должны иметь ограничители крайних положений регулирующего устройства. Конструкция ограничителя должна исключать возможность изменения его положения потребителем.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К</w:t>
      </w:r>
      <w:r>
        <w:rPr>
          <w:rFonts w:ascii="Times New Roman" w:hAnsi="Times New Roman"/>
          <w:sz w:val="20"/>
        </w:rPr>
        <w:t>онструкция кранов должна позволять производить их установку с расположением оси шпинделя во всех промежуточных положениях от горизонтального до вертикального (рукояткой вверх).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Корпус крана и детали, соприкасающиеся с теплоносителем, должны изготавливаться из латуни марки ЛС-1Л по ГОСТ 17711-93, в качестве сальниковой набивки должен применяться фторопластовый уплотнительный материал по МРТУ 6-6-05-870-66 или сальниковая набивка по ГОСТ 5152-84.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Конструкция  и материал рукояток кранов должны исключ</w:t>
      </w:r>
      <w:r>
        <w:rPr>
          <w:rFonts w:ascii="Times New Roman" w:hAnsi="Times New Roman"/>
          <w:sz w:val="20"/>
        </w:rPr>
        <w:t>ать их нагрев св. 45°С на поверхности.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2.8. Литые детали кранов не должны иметь раковин, трещин, следов литников, шлаковых включений. Поверхности деталей должны быть очищены от </w:t>
      </w:r>
      <w:proofErr w:type="spellStart"/>
      <w:r>
        <w:rPr>
          <w:rFonts w:ascii="Times New Roman" w:hAnsi="Times New Roman"/>
          <w:sz w:val="20"/>
        </w:rPr>
        <w:t>облоя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2.9. Присоединительные концы кранов должны выполняться муфтовыми по ГОСТ 6527-68 или ниппельными. В кранах типов КРП и КРД с </w:t>
      </w:r>
      <w:r>
        <w:rPr>
          <w:rFonts w:ascii="Times New Roman" w:hAnsi="Times New Roman"/>
          <w:sz w:val="20"/>
          <w:lang w:val="en-US"/>
        </w:rPr>
        <w:t>D</w:t>
      </w:r>
      <w:r>
        <w:rPr>
          <w:rFonts w:ascii="Times New Roman" w:hAnsi="Times New Roman"/>
          <w:sz w:val="20"/>
          <w:vertAlign w:val="subscript"/>
        </w:rPr>
        <w:t>У</w:t>
      </w:r>
      <w:r>
        <w:rPr>
          <w:rFonts w:ascii="Times New Roman" w:hAnsi="Times New Roman"/>
          <w:sz w:val="20"/>
        </w:rPr>
        <w:t xml:space="preserve"> 10 мм присоединительные концы со стороны нагревательного прибора должны выполняться только ниппельными.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2.10. Противоположные присоединительные концы в кранах должны располагаться на одной оси, отводн</w:t>
      </w:r>
      <w:r>
        <w:rPr>
          <w:rFonts w:ascii="Times New Roman" w:hAnsi="Times New Roman"/>
          <w:sz w:val="20"/>
        </w:rPr>
        <w:t xml:space="preserve">ой присоединительный конец в кранах типа КРТ - под углом 90°. Отклонение не должно превышать: 1° для муфтовых и 3° для ниппельных и </w:t>
      </w:r>
      <w:proofErr w:type="spellStart"/>
      <w:r>
        <w:rPr>
          <w:rFonts w:ascii="Times New Roman" w:hAnsi="Times New Roman"/>
          <w:sz w:val="20"/>
        </w:rPr>
        <w:t>муфтово-ниппельных</w:t>
      </w:r>
      <w:proofErr w:type="spellEnd"/>
      <w:r>
        <w:rPr>
          <w:rFonts w:ascii="Times New Roman" w:hAnsi="Times New Roman"/>
          <w:sz w:val="20"/>
        </w:rPr>
        <w:t xml:space="preserve"> концов.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2.11. Трубная резьба присоединительных концов кранов должна выполняться по ГОСТ 6357-81, класс точности В. Для других соединений выполняется метрическая резьба по ГОСТ 9150-81 и ГОСТ 24705-81 с допусками по ГОСТ 16093-81, грубый класс точности.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2.12. Сбеги </w:t>
      </w:r>
      <w:proofErr w:type="spellStart"/>
      <w:r>
        <w:rPr>
          <w:rFonts w:ascii="Times New Roman" w:hAnsi="Times New Roman"/>
          <w:sz w:val="20"/>
        </w:rPr>
        <w:t>резьб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недорезы</w:t>
      </w:r>
      <w:proofErr w:type="spellEnd"/>
      <w:r>
        <w:rPr>
          <w:rFonts w:ascii="Times New Roman" w:hAnsi="Times New Roman"/>
          <w:sz w:val="20"/>
        </w:rPr>
        <w:t>, проточки и фаски должны выполняться по ГОСТ 10549-80.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2.13. Наличие сорванных в</w:t>
      </w:r>
      <w:r>
        <w:rPr>
          <w:rFonts w:ascii="Times New Roman" w:hAnsi="Times New Roman"/>
          <w:sz w:val="20"/>
        </w:rPr>
        <w:t>итков, а также заусенцы на поверхности резьбы, препятствующие соединению деталей, не допускаются.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Рванины и </w:t>
      </w:r>
      <w:proofErr w:type="spellStart"/>
      <w:r>
        <w:rPr>
          <w:rFonts w:ascii="Times New Roman" w:hAnsi="Times New Roman"/>
          <w:sz w:val="20"/>
        </w:rPr>
        <w:t>выкрашивания</w:t>
      </w:r>
      <w:proofErr w:type="spellEnd"/>
      <w:r>
        <w:rPr>
          <w:rFonts w:ascii="Times New Roman" w:hAnsi="Times New Roman"/>
          <w:sz w:val="20"/>
        </w:rPr>
        <w:t xml:space="preserve"> на поверхности резьбы не должны выходить за пределы среднего диаметра резьбы и их общая протяженность не должна превышать 1/3 витка.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2.14. Предельные отклонения размеров деталей кранов с необработанными поверхностями должны соответствовать указанным в ОСТ 1010, 9-й класс точности; с обработанными поверхностями - в соответствии с указанными в рабочих чертежах.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2.15. Обработанные детали кра</w:t>
      </w:r>
      <w:r>
        <w:rPr>
          <w:rFonts w:ascii="Times New Roman" w:hAnsi="Times New Roman"/>
          <w:sz w:val="20"/>
        </w:rPr>
        <w:t>нов не должны иметь заусенцев и острых кромок.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2.16. Наружные поверхности корпуса крана и деталей, выступающих из-под рукоятки, должны быть осветлены.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2.17. Перед сборкой кранов поверхности их деталей должны быть очищены от </w:t>
      </w:r>
      <w:proofErr w:type="spellStart"/>
      <w:r>
        <w:rPr>
          <w:rFonts w:ascii="Times New Roman" w:hAnsi="Times New Roman"/>
          <w:sz w:val="20"/>
        </w:rPr>
        <w:t>загрязнений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2.18. Регулирующее устройство кранов должно иметь плавный и легкий ход без </w:t>
      </w:r>
      <w:proofErr w:type="spellStart"/>
      <w:r>
        <w:rPr>
          <w:rFonts w:ascii="Times New Roman" w:hAnsi="Times New Roman"/>
          <w:sz w:val="20"/>
        </w:rPr>
        <w:t>заеданий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Крутящий момент на рукоятке крана при открывании и </w:t>
      </w:r>
      <w:proofErr w:type="spellStart"/>
      <w:r>
        <w:rPr>
          <w:rFonts w:ascii="Times New Roman" w:hAnsi="Times New Roman"/>
          <w:sz w:val="20"/>
        </w:rPr>
        <w:t>закрывании</w:t>
      </w:r>
      <w:proofErr w:type="spellEnd"/>
      <w:r>
        <w:rPr>
          <w:rFonts w:ascii="Times New Roman" w:hAnsi="Times New Roman"/>
          <w:sz w:val="20"/>
        </w:rPr>
        <w:t xml:space="preserve"> устройства не должен превышать 0,2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·м.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2.19. Краны должны быть прочными и герметичными и выдерживать испытательное давление 1</w:t>
      </w:r>
      <w:r>
        <w:rPr>
          <w:rFonts w:ascii="Times New Roman" w:hAnsi="Times New Roman"/>
          <w:sz w:val="20"/>
        </w:rPr>
        <w:t xml:space="preserve">,5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(~15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).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2.20. </w:t>
      </w:r>
      <w:proofErr w:type="spellStart"/>
      <w:r>
        <w:rPr>
          <w:rFonts w:ascii="Times New Roman" w:hAnsi="Times New Roman"/>
          <w:sz w:val="20"/>
        </w:rPr>
        <w:t>Негерметичность</w:t>
      </w:r>
      <w:proofErr w:type="spellEnd"/>
      <w:r>
        <w:rPr>
          <w:rFonts w:ascii="Times New Roman" w:hAnsi="Times New Roman"/>
          <w:sz w:val="20"/>
        </w:rPr>
        <w:t xml:space="preserve"> регулирующих устройств в закрытом положении при разности давлений до и после них, равной 1 кПа (~01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), не должна превышать: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 см</w:t>
      </w: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/мин - в кранах </w:t>
      </w:r>
      <w:r>
        <w:rPr>
          <w:rFonts w:ascii="Times New Roman" w:hAnsi="Times New Roman"/>
          <w:sz w:val="20"/>
          <w:lang w:val="en-US"/>
        </w:rPr>
        <w:t>D</w:t>
      </w:r>
      <w:r>
        <w:rPr>
          <w:rFonts w:ascii="Times New Roman" w:hAnsi="Times New Roman"/>
          <w:sz w:val="20"/>
          <w:vertAlign w:val="subscript"/>
        </w:rPr>
        <w:t>У</w:t>
      </w:r>
      <w:r>
        <w:rPr>
          <w:rFonts w:ascii="Times New Roman" w:hAnsi="Times New Roman"/>
          <w:sz w:val="20"/>
        </w:rPr>
        <w:t xml:space="preserve"> 10 и 15 мм;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 см</w:t>
      </w: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/мин - в кранах </w:t>
      </w:r>
      <w:r>
        <w:rPr>
          <w:rFonts w:ascii="Times New Roman" w:hAnsi="Times New Roman"/>
          <w:sz w:val="20"/>
          <w:lang w:val="en-US"/>
        </w:rPr>
        <w:t>D</w:t>
      </w:r>
      <w:r>
        <w:rPr>
          <w:rFonts w:ascii="Times New Roman" w:hAnsi="Times New Roman"/>
          <w:sz w:val="20"/>
          <w:vertAlign w:val="subscript"/>
        </w:rPr>
        <w:t>У</w:t>
      </w:r>
      <w:r>
        <w:rPr>
          <w:rFonts w:ascii="Times New Roman" w:hAnsi="Times New Roman"/>
          <w:sz w:val="20"/>
        </w:rPr>
        <w:t xml:space="preserve"> 20 мм.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2.21. Коэффициент гидравлического сопротивления кранов в открытом положении регулирующего устройства должен соответствовать указанному в табл. 3.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2.22. Краны относятся к классу ремонтируемых изделий. Средний ресурс до испытания - 1500 циклов; наработка на отказ - не м</w:t>
      </w:r>
      <w:r>
        <w:rPr>
          <w:rFonts w:ascii="Times New Roman" w:hAnsi="Times New Roman"/>
          <w:sz w:val="20"/>
        </w:rPr>
        <w:t>енее 400 циклов.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3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45"/>
        <w:gridCol w:w="1140"/>
        <w:gridCol w:w="3195"/>
        <w:gridCol w:w="29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крана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vertAlign w:val="subscript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, мм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 теплоносителя в подводке к нагревательному прибору, л/ч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Коэффициент гидравлического сопротивления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3,5 до 4,0 - на проход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"  4,0  "  4,5 - на поворот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КРТ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300 до 600 </w:t>
            </w:r>
          </w:p>
        </w:tc>
        <w:tc>
          <w:tcPr>
            <w:tcW w:w="2925" w:type="dxa"/>
            <w:tcBorders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3,0 до 3,5 - на проход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"  4,0  "  4,5 - на поворот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2,5 до 3,0 - на проход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" 3,0  "  3,5 - на поворот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300 до 600 </w:t>
            </w:r>
          </w:p>
        </w:tc>
        <w:tc>
          <w:tcPr>
            <w:tcW w:w="292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3,5 до 4,0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3,0 до 3,5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КРП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50 до 100 </w:t>
            </w:r>
          </w:p>
        </w:tc>
        <w:tc>
          <w:tcPr>
            <w:tcW w:w="2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300,0 до 500,0*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300 до 600 </w:t>
            </w:r>
          </w:p>
        </w:tc>
        <w:tc>
          <w:tcPr>
            <w:tcW w:w="292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2,5 до 3,0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right w:val="single" w:sz="6" w:space="0" w:color="auto"/>
            </w:tcBorders>
          </w:tcPr>
          <w:p w:rsidR="00000000" w:rsidRDefault="00C1378E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4,5 до 18,0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КРД </w:t>
            </w:r>
          </w:p>
        </w:tc>
        <w:tc>
          <w:tcPr>
            <w:tcW w:w="1140" w:type="dxa"/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31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50 до 100 </w:t>
            </w:r>
          </w:p>
        </w:tc>
        <w:tc>
          <w:tcPr>
            <w:tcW w:w="2925" w:type="dxa"/>
            <w:tcBorders>
              <w:right w:val="single" w:sz="6" w:space="0" w:color="auto"/>
            </w:tcBorders>
          </w:tcPr>
          <w:p w:rsidR="00000000" w:rsidRDefault="00C1378E">
            <w:pPr>
              <w:widowControl/>
              <w:ind w:firstLine="9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"  5,0   "  14,0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000000" w:rsidRDefault="00C1378E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</w:p>
        </w:tc>
        <w:tc>
          <w:tcPr>
            <w:tcW w:w="3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2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C1378E">
            <w:pPr>
              <w:widowControl/>
              <w:ind w:firstLine="9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"  6,0   "  13,0 </w:t>
            </w:r>
          </w:p>
        </w:tc>
      </w:tr>
    </w:tbl>
    <w:p w:rsidR="00000000" w:rsidRDefault="00C1378E">
      <w:pPr>
        <w:widowControl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Для кранов с дроссельным регулирующим устройством.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Правила приемки и методы испытаний </w:t>
      </w:r>
    </w:p>
    <w:p w:rsidR="00000000" w:rsidRDefault="00C1378E">
      <w:pPr>
        <w:widowControl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Каждый кран должен быть принят техническим контролем предприятия-изготовителя.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Краны подвергают приемосдаточным, периодическим и типовым испытаниям.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Потребитель имеет право проводить контрольную проверку качества кранов и соответствия их требованиям настоящ</w:t>
      </w:r>
      <w:r>
        <w:rPr>
          <w:rFonts w:ascii="Times New Roman" w:hAnsi="Times New Roman"/>
          <w:sz w:val="20"/>
        </w:rPr>
        <w:t>его стандарта.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При приемосдаточных испытаниях каждый кран подвергают внешнему осмотру и испытывают на прочность и герметичность.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3.5. При периодических испытаниях проверяют количество пропускаемой воды краном в закрытом положении, величину крутящего момента при открывании и </w:t>
      </w:r>
      <w:proofErr w:type="spellStart"/>
      <w:r>
        <w:rPr>
          <w:rFonts w:ascii="Times New Roman" w:hAnsi="Times New Roman"/>
          <w:sz w:val="20"/>
        </w:rPr>
        <w:t>закрывании</w:t>
      </w:r>
      <w:proofErr w:type="spellEnd"/>
      <w:r>
        <w:rPr>
          <w:rFonts w:ascii="Times New Roman" w:hAnsi="Times New Roman"/>
          <w:sz w:val="20"/>
        </w:rPr>
        <w:t xml:space="preserve"> регулирующего устройства, ресурс работы и наработку на отказ.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Периодическим испытаниям подвергают по три крана каждого типоразмера не реже одного раза в два года.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При типовых испытаниях проверяют параметры согласно п</w:t>
      </w:r>
      <w:r>
        <w:rPr>
          <w:rFonts w:ascii="Times New Roman" w:hAnsi="Times New Roman"/>
          <w:sz w:val="20"/>
        </w:rPr>
        <w:t>. 3.5, а также гидравлическое сопротивление кранов.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Типовые испытания проводят при изменении конструкции кранов или технологии их изготовления, если эти изменения могут повлиять на уровень надежности и другие параметры кранов.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3.7. Проточная полость кранов, подвергающихся периодическим и типовым испытаниям, должна быть обезжирена керосином по нормативно-технической документации или </w:t>
      </w:r>
      <w:proofErr w:type="spellStart"/>
      <w:r>
        <w:rPr>
          <w:rFonts w:ascii="Times New Roman" w:hAnsi="Times New Roman"/>
          <w:sz w:val="20"/>
        </w:rPr>
        <w:t>уайт-спиритом</w:t>
      </w:r>
      <w:proofErr w:type="spellEnd"/>
      <w:r>
        <w:rPr>
          <w:rFonts w:ascii="Times New Roman" w:hAnsi="Times New Roman"/>
          <w:sz w:val="20"/>
        </w:rPr>
        <w:t xml:space="preserve"> по ГОСТ 3134-78.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3.8. При контрольной проверке качества кранов потребителем внешнему осмотру, проверке размеров, </w:t>
      </w:r>
      <w:r>
        <w:rPr>
          <w:rFonts w:ascii="Times New Roman" w:hAnsi="Times New Roman"/>
          <w:sz w:val="20"/>
        </w:rPr>
        <w:t>испытаниям на прочность и герметичность и проверке количества пропускаемой воды краном в закрытом положении регулирующего устройства подвергают 5% кранов, но не менее 10 шт. от партии. Размер партии устанавливается соглашением сторон.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3.9. Если при контрольной проверке хотя бы один кран по какому-либо показателю не будет удовлетворять требованиям настоящего стандарта, проводят повторную проверку по этому показателю удвоенного количества кранов той же партии. В случае неудовлетворительных результатов повторн</w:t>
      </w:r>
      <w:r>
        <w:rPr>
          <w:rFonts w:ascii="Times New Roman" w:hAnsi="Times New Roman"/>
          <w:sz w:val="20"/>
        </w:rPr>
        <w:t>ой проверки партия кранов приемке не подлежит.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3.10. Размеры кранов проверяют универсальным и специальным мерительным инструментом и шаблонами, резьбу - резьбовыми калибрами и кольцами.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3.11. Величину крутящего момента при открывании и </w:t>
      </w:r>
      <w:proofErr w:type="spellStart"/>
      <w:r>
        <w:rPr>
          <w:rFonts w:ascii="Times New Roman" w:hAnsi="Times New Roman"/>
          <w:sz w:val="20"/>
        </w:rPr>
        <w:t>закрывании</w:t>
      </w:r>
      <w:proofErr w:type="spellEnd"/>
      <w:r>
        <w:rPr>
          <w:rFonts w:ascii="Times New Roman" w:hAnsi="Times New Roman"/>
          <w:sz w:val="20"/>
        </w:rPr>
        <w:t xml:space="preserve"> регулирующего устройства крана проверяют на специальном стенде, оборудованном динамометром.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3.12. Прочность и герметичность кранов проверяют подачей в один из присоединительных концов крана (при заглушенных других) воды (гидравлические испытания) или воздуха (пневм</w:t>
      </w:r>
      <w:r>
        <w:rPr>
          <w:rFonts w:ascii="Times New Roman" w:hAnsi="Times New Roman"/>
          <w:sz w:val="20"/>
        </w:rPr>
        <w:t xml:space="preserve">атические испытания) под давлением 1,5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(~ 15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position w:val="-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). Регулирующие устройства в кранах типов КРП и КРД должны быть в открытом, а в кранах типа КРТ - в среднем положениях.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Испытание проводят в течение времени, необходимого для выявления дефектов, но не менее 30 с.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Выдержавшими испытание считают краны, на поверхности и в местах уплотнительных устройств которых, после двукратного поворота регулирующего устройства, не будет выявлено просачивания воды или "потения" при гидравлических испытаниях и появления </w:t>
      </w:r>
      <w:r>
        <w:rPr>
          <w:rFonts w:ascii="Times New Roman" w:hAnsi="Times New Roman"/>
          <w:sz w:val="20"/>
        </w:rPr>
        <w:t>пузырьков воздуха в воде, куда погружают кран на время испытания, при пневматических испытаниях.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3.13. Величину пропуска воды через кран при закрытом положении регулирующего устройства проверяют на специальном стенде, создающем избыточное давление воды 1 кПа (~ 0,01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) и оснащенном мерной емкостью и секундомером.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3.14. После проведения гидравлических испытаний, а также проверки величины пропуска воды через кран вода из крана должна быть удалена, а его внутренняя полость продута воздухом или просушена.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3.15. Гидравлическое сопротивление кранов проверяют по методике базовой организации по стандартизации кранов.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3.16. Периодические и типовые испытания проводятся предприятием-изготовителем или по его заказу специализированной организацией.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Маркировка, упаковка, транспортирование и хранение 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Маркировка кранов - по ГОСТ 4666-75.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Упаковка кранов должна осуществляться в дощатые ящики типа II по ГОСТ 2991-85 или фанерные ящики типа IV по ГОСТ 5959-80.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Регулирующие устройства кранов перед упаковкой</w:t>
      </w:r>
      <w:r>
        <w:rPr>
          <w:rFonts w:ascii="Times New Roman" w:hAnsi="Times New Roman"/>
          <w:sz w:val="20"/>
        </w:rPr>
        <w:t xml:space="preserve"> должны быть полностью открыты.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Рукоятки кранов, изготовленные из неметаллических материалов, должны упаковываться в ящики с кранами в специальный отсек.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Упаковка должна обеспечивать сохранность кранов и рукояток от механических повреждений при транспортировании и хранении.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 Маркировка тары - по ГОСТ 14192-77.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Масса тары брутто не должна превышать 50 кг.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Партия кранов, отгружаемая одному потребителю по одному документу, должна сопровождаться двумя комплектами эксплуатационной докумен</w:t>
      </w:r>
      <w:r>
        <w:rPr>
          <w:rFonts w:ascii="Times New Roman" w:hAnsi="Times New Roman"/>
          <w:sz w:val="20"/>
        </w:rPr>
        <w:t>тации по ГОСТ 2.601-68, содержащей паспорт, техническое описание и инструкцию по эксплуатации.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требованию потребителя предприятие-изготовитель должно прилагать эксплуатационную документацию в больших количествах.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4.8. Транспортирование кранов допускается любым видом транспорта, обеспечивающим сохранность кранов от механических повреждений и воздействия атмосферных осадков.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4.9. Краны должны храниться в упакованном виде в закрытом помещении.     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Гарантии поставщика 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Предприятие-изготовитель дол</w:t>
      </w:r>
      <w:r>
        <w:rPr>
          <w:rFonts w:ascii="Times New Roman" w:hAnsi="Times New Roman"/>
          <w:sz w:val="20"/>
        </w:rPr>
        <w:t>жно гарантировать соответствие кранов требованиям настоящего стандарта.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Гарантийный срок при соблюдении потребителем требований настоящего стандарта и эксплуатационной документации при хранении, монтаже и эксплуатации кранов - один год со дня сдачи в эксплуатацию, но не более двух лет со дня отгрузки с предприятия-изготовителя.</w:t>
      </w: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</w:p>
    <w:p w:rsidR="00000000" w:rsidRDefault="00C1378E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Справочное 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 регулирующий трехходовой с пробковым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регулирующим устройством 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3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000000" w:rsidRDefault="00C1378E">
            <w:pPr>
              <w:pStyle w:val="Heading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8685" w:dyaOrig="5925">
                <v:shape id="_x0000_i1026" type="#_x0000_t75" style="width:232.5pt;height:159pt" o:ole="">
                  <v:imagedata r:id="rId5" o:title=""/>
                </v:shape>
                <o:OLEObject Type="Embed" ProgID="MSPhotoEd.3" ShapeID="_x0000_i1026" DrawAspect="Content" ObjectID="_1427198120" r:id="rId6"/>
              </w:object>
            </w:r>
          </w:p>
        </w:tc>
        <w:tc>
          <w:tcPr>
            <w:tcW w:w="3600" w:type="dxa"/>
          </w:tcPr>
          <w:p w:rsidR="00000000" w:rsidRDefault="00C1378E">
            <w:pPr>
              <w:pStyle w:val="Heading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5985" w:dyaOrig="6015">
                <v:shape id="_x0000_i1027" type="#_x0000_t75" style="width:165pt;height:165.75pt" o:ole="">
                  <v:imagedata r:id="rId7" o:title=""/>
                </v:shape>
                <o:OLEObject Type="Embed" ProgID="MSPhotoEd.3" ShapeID="_x0000_i1027" DrawAspect="Content" ObjectID="_1427198121" r:id="rId8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000000" w:rsidRDefault="00C1378E">
            <w:pPr>
              <w:pStyle w:val="Heading"/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</w:tcPr>
          <w:p w:rsidR="00000000" w:rsidRDefault="00C1378E">
            <w:pPr>
              <w:pStyle w:val="Heading"/>
              <w:widowControl/>
              <w:jc w:val="center"/>
              <w:rPr>
                <w:rFonts w:ascii="Times New Roman" w:hAnsi="Times New Roman"/>
                <w:b w:val="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0"/>
                <w:u w:val="single"/>
              </w:rPr>
              <w:t>А-А</w:t>
            </w:r>
          </w:p>
          <w:p w:rsidR="00000000" w:rsidRDefault="00C1378E">
            <w:pPr>
              <w:pStyle w:val="Heading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(для случая установки на ле</w:t>
            </w:r>
            <w:r>
              <w:rPr>
                <w:rFonts w:ascii="Times New Roman" w:hAnsi="Times New Roman"/>
                <w:b w:val="0"/>
                <w:sz w:val="20"/>
              </w:rPr>
              <w:t>вой подводке)</w:t>
            </w:r>
          </w:p>
        </w:tc>
      </w:tr>
    </w:tbl>
    <w:p w:rsidR="00000000" w:rsidRDefault="00C1378E">
      <w:pPr>
        <w:pStyle w:val="Heading"/>
        <w:widowControl/>
        <w:jc w:val="center"/>
        <w:rPr>
          <w:rFonts w:ascii="Times New Roman" w:hAnsi="Times New Roman"/>
          <w:b w:val="0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12825" w:dyaOrig="6345">
          <v:shape id="_x0000_i1028" type="#_x0000_t75" style="width:362.25pt;height:179.25pt" o:ole="">
            <v:imagedata r:id="rId9" o:title=""/>
          </v:shape>
          <o:OLEObject Type="Embed" ProgID="MSPhotoEd.3" ShapeID="_x0000_i1028" DrawAspect="Content" ObjectID="_1427198122" r:id="rId10"/>
        </w:objec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b w:val="0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 регулирующий проходной с дроссельным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регулирующим устройством </w:t>
      </w: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14145" w:dyaOrig="5715">
          <v:shape id="_x0000_i1029" type="#_x0000_t75" style="width:415.5pt;height:168pt" o:ole="">
            <v:imagedata r:id="rId11" o:title=""/>
          </v:shape>
          <o:OLEObject Type="Embed" ProgID="MSPhotoEd.3" ShapeID="_x0000_i1029" DrawAspect="Content" ObjectID="_1427198123" r:id="rId12"/>
        </w:objec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 регулирующий проходной с шиберным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регулирующим устройством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13665" w:dyaOrig="5955">
          <v:shape id="_x0000_i1030" type="#_x0000_t75" style="width:415.5pt;height:180.75pt" o:ole="">
            <v:imagedata r:id="rId13" o:title=""/>
          </v:shape>
          <o:OLEObject Type="Embed" ProgID="MSPhotoEd.3" ShapeID="_x0000_i1030" DrawAspect="Content" ObjectID="_1427198124" r:id="rId14"/>
        </w:objec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 регулирующий проходной с шиберным регулирующим устройством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ниппельным присоединительным концом</w:t>
      </w: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1" type="#_x0000_t75" style="width:268.5pt;height:512.25pt">
            <v:imagedata r:id="rId15" o:title=""/>
          </v:shape>
        </w:pic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 регулирующий двойной регулировки с шиберным</w:t>
      </w:r>
    </w:p>
    <w:p w:rsidR="00000000" w:rsidRDefault="00C1378E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регулирующим устройством </w:t>
      </w:r>
    </w:p>
    <w:p w:rsidR="00000000" w:rsidRDefault="00C1378E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object w:dxaOrig="12825" w:dyaOrig="13455">
          <v:shape id="_x0000_i1032" type="#_x0000_t75" style="width:415.5pt;height:435.75pt" o:ole="">
            <v:imagedata r:id="rId16" o:title=""/>
          </v:shape>
          <o:OLEObject Type="Embed" ProgID="MSPhotoEd.3" ShapeID="_x0000_i1032" DrawAspect="Content" ObjectID="_1427198125" r:id="rId17"/>
        </w:object>
      </w:r>
    </w:p>
    <w:sectPr w:rsidR="00000000">
      <w:endnotePr>
        <w:numFmt w:val="decimal"/>
      </w:endnotePr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78E"/>
    <w:rsid w:val="00C1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  <w:rPr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2015</Words>
  <Characters>11491</Characters>
  <Application>Microsoft Office Word</Application>
  <DocSecurity>0</DocSecurity>
  <Lines>95</Lines>
  <Paragraphs>26</Paragraphs>
  <ScaleCrop>false</ScaleCrop>
  <Company> 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10944-75</dc:title>
  <dc:subject/>
  <dc:creator> ЦНТИ</dc:creator>
  <cp:keywords/>
  <dc:description/>
  <cp:lastModifiedBy>Parhomeiai</cp:lastModifiedBy>
  <cp:revision>2</cp:revision>
  <dcterms:created xsi:type="dcterms:W3CDTF">2013-04-11T10:27:00Z</dcterms:created>
  <dcterms:modified xsi:type="dcterms:W3CDTF">2013-04-11T10:27:00Z</dcterms:modified>
</cp:coreProperties>
</file>