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2B33">
      <w:pPr>
        <w:pBdr>
          <w:bottom w:val="single" w:sz="6" w:space="1" w:color="auto"/>
        </w:pBdr>
        <w:ind w:firstLine="284"/>
        <w:jc w:val="center"/>
        <w:rPr>
          <w:sz w:val="20"/>
        </w:rPr>
      </w:pPr>
      <w:bookmarkStart w:id="0" w:name="_GoBack"/>
      <w:bookmarkEnd w:id="0"/>
      <w:r>
        <w:rPr>
          <w:b/>
          <w:sz w:val="20"/>
        </w:rPr>
        <w:t>ГОСУДАРСТВЕННЫЕ ЭЛЕМЕНТНЫЕ СМЕТНЫЕ НОРМЫ НА РЕМОНТНО-СТРОИТЕЛЬНЫЕ РАБОТЫ</w:t>
      </w:r>
    </w:p>
    <w:p w:rsidR="00000000" w:rsidRDefault="00622B33">
      <w:pPr>
        <w:pStyle w:val="FR1"/>
        <w:ind w:firstLine="284"/>
        <w:jc w:val="both"/>
        <w:rPr>
          <w:b w:val="0"/>
          <w:i/>
          <w:sz w:val="20"/>
        </w:rPr>
      </w:pPr>
    </w:p>
    <w:p w:rsidR="00000000" w:rsidRDefault="00622B33">
      <w:pPr>
        <w:pStyle w:val="FR1"/>
        <w:ind w:firstLine="284"/>
        <w:jc w:val="center"/>
        <w:rPr>
          <w:b w:val="0"/>
          <w:i/>
          <w:sz w:val="20"/>
        </w:rPr>
      </w:pPr>
      <w:r>
        <w:rPr>
          <w:b w:val="0"/>
          <w:i/>
          <w:sz w:val="20"/>
        </w:rPr>
        <w:t>Сборник № 55</w:t>
      </w:r>
    </w:p>
    <w:p w:rsidR="00000000" w:rsidRDefault="00622B33">
      <w:pPr>
        <w:pStyle w:val="FR1"/>
        <w:ind w:firstLine="284"/>
        <w:jc w:val="center"/>
        <w:rPr>
          <w:b w:val="0"/>
          <w:i/>
          <w:sz w:val="20"/>
        </w:rPr>
      </w:pPr>
    </w:p>
    <w:p w:rsidR="00000000" w:rsidRDefault="00622B33">
      <w:pPr>
        <w:pStyle w:val="FR1"/>
        <w:ind w:firstLine="284"/>
        <w:jc w:val="center"/>
        <w:rPr>
          <w:sz w:val="20"/>
        </w:rPr>
      </w:pPr>
      <w:r>
        <w:rPr>
          <w:sz w:val="20"/>
        </w:rPr>
        <w:t>Перегородки</w:t>
      </w:r>
    </w:p>
    <w:p w:rsidR="00000000" w:rsidRDefault="00622B33">
      <w:pPr>
        <w:pStyle w:val="FR1"/>
        <w:ind w:firstLine="284"/>
        <w:jc w:val="center"/>
        <w:rPr>
          <w:sz w:val="20"/>
        </w:rPr>
      </w:pPr>
    </w:p>
    <w:p w:rsidR="00000000" w:rsidRDefault="00622B33">
      <w:pPr>
        <w:pStyle w:val="FR2"/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i w:val="0"/>
          <w:sz w:val="20"/>
        </w:rPr>
        <w:t>ГЭСНр-2001-55</w:t>
      </w:r>
    </w:p>
    <w:p w:rsidR="00000000" w:rsidRDefault="00622B33">
      <w:pPr>
        <w:pStyle w:val="FR2"/>
        <w:ind w:firstLine="284"/>
        <w:jc w:val="both"/>
        <w:rPr>
          <w:sz w:val="20"/>
        </w:rPr>
      </w:pPr>
    </w:p>
    <w:p w:rsidR="00000000" w:rsidRDefault="00622B33">
      <w:pPr>
        <w:pStyle w:val="FR2"/>
        <w:ind w:firstLine="284"/>
        <w:jc w:val="center"/>
        <w:rPr>
          <w:sz w:val="20"/>
        </w:rPr>
      </w:pPr>
      <w:r>
        <w:rPr>
          <w:sz w:val="20"/>
        </w:rPr>
        <w:t>ТЕХНИЧЕСКАЯ ЧАСТЬ</w:t>
      </w:r>
    </w:p>
    <w:p w:rsidR="00000000" w:rsidRDefault="00622B33">
      <w:pPr>
        <w:pStyle w:val="FR2"/>
        <w:ind w:firstLine="284"/>
        <w:jc w:val="center"/>
        <w:rPr>
          <w:sz w:val="20"/>
        </w:rPr>
      </w:pPr>
    </w:p>
    <w:p w:rsidR="00000000" w:rsidRDefault="00622B33">
      <w:pPr>
        <w:pStyle w:val="FR2"/>
        <w:ind w:firstLine="284"/>
        <w:jc w:val="both"/>
        <w:rPr>
          <w:i w:val="0"/>
          <w:sz w:val="20"/>
        </w:rPr>
      </w:pPr>
      <w:r>
        <w:rPr>
          <w:i w:val="0"/>
          <w:sz w:val="20"/>
        </w:rPr>
        <w:t>1. Общие указания</w:t>
      </w:r>
    </w:p>
    <w:p w:rsidR="00000000" w:rsidRDefault="00622B33">
      <w:pPr>
        <w:pStyle w:val="FR2"/>
        <w:ind w:firstLine="284"/>
        <w:jc w:val="both"/>
        <w:rPr>
          <w:sz w:val="20"/>
        </w:rPr>
      </w:pP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>1.1. В настоящем сборнике содержатся нормы на выполнение работ по разборке и ремонту перегородок.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>1.2.</w:t>
      </w:r>
      <w:r>
        <w:rPr>
          <w:sz w:val="20"/>
        </w:rPr>
        <w:t xml:space="preserve"> В нормах расход ресурсов рассчитан на выполнение всего комплекса работ, необходимых при ремонте перегородок, включая: устройство ограждений, предусмотренных правилами производства работ и техники безопасности; уборку материалов, отходов и мусора, полученных при разборке; сортировку и штабелировку материалов и отходов, полученных от разборки и годных для дальнейшего использования, и т.п.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>1.3. В нормах расход ресурсов рассчитан исходя из условий разборки конструкций на отдельные элементы.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>1.4. В нормах насто</w:t>
      </w:r>
      <w:r>
        <w:rPr>
          <w:sz w:val="20"/>
        </w:rPr>
        <w:t>ящего сборника предусмотрен расход ресурсов на выполнение работ по установке, перестановке и разборке подмостей для условий производства работ в помещениях высотой до 4 метров. Для случаев производства работ в помещениях высотой более 4 м расход ресурсов на устройство лесов следует определять дополнительно по нормам сборника ГЭСНр-2001-69 «Прочие ремонтно-строительные работы».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 xml:space="preserve">1.5. В нормах не предусмотрен расход ресурсов на выполнение работ по </w:t>
      </w:r>
      <w:proofErr w:type="spellStart"/>
      <w:r>
        <w:rPr>
          <w:sz w:val="20"/>
        </w:rPr>
        <w:t>антисептированию</w:t>
      </w:r>
      <w:proofErr w:type="spellEnd"/>
      <w:r>
        <w:rPr>
          <w:sz w:val="20"/>
        </w:rPr>
        <w:t xml:space="preserve"> древесины. Расход ресурсов по </w:t>
      </w:r>
      <w:proofErr w:type="spellStart"/>
      <w:r>
        <w:rPr>
          <w:sz w:val="20"/>
        </w:rPr>
        <w:t>антисептированию</w:t>
      </w:r>
      <w:proofErr w:type="spellEnd"/>
      <w:r>
        <w:rPr>
          <w:sz w:val="20"/>
        </w:rPr>
        <w:t xml:space="preserve"> древесины следует нормировать дополнительно по сборнику ГЭСНр-2001-69 «Прочие ремонтно-строительные работы».</w:t>
      </w:r>
    </w:p>
    <w:p w:rsidR="00000000" w:rsidRDefault="00622B33">
      <w:pPr>
        <w:pStyle w:val="FR2"/>
        <w:ind w:firstLine="284"/>
        <w:jc w:val="both"/>
        <w:rPr>
          <w:i w:val="0"/>
          <w:sz w:val="20"/>
        </w:rPr>
      </w:pPr>
    </w:p>
    <w:p w:rsidR="00000000" w:rsidRDefault="00622B33">
      <w:pPr>
        <w:pStyle w:val="FR2"/>
        <w:ind w:firstLine="284"/>
        <w:jc w:val="both"/>
        <w:rPr>
          <w:i w:val="0"/>
          <w:sz w:val="20"/>
        </w:rPr>
      </w:pPr>
      <w:r>
        <w:rPr>
          <w:i w:val="0"/>
          <w:sz w:val="20"/>
        </w:rPr>
        <w:t>2. Правила определения объемов работ</w:t>
      </w:r>
    </w:p>
    <w:p w:rsidR="00000000" w:rsidRDefault="00622B33">
      <w:pPr>
        <w:pStyle w:val="FR2"/>
        <w:ind w:firstLine="284"/>
        <w:jc w:val="both"/>
        <w:rPr>
          <w:sz w:val="20"/>
        </w:rPr>
      </w:pP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>2.1. Площадь ремонтируемых перегородок определяется за вычетом площади проемов (по наружному обводу коробок). Высота перегородок определяется от уровня чистого пола до потолка (или верха перегородки).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>2.2. Объем работ по смене отдельных участков перегородок определяется по площади сменяемых участков.</w:t>
      </w:r>
    </w:p>
    <w:p w:rsidR="00000000" w:rsidRDefault="00622B3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55-1</w:t>
            </w:r>
          </w:p>
        </w:tc>
        <w:tc>
          <w:tcPr>
            <w:tcW w:w="5000" w:type="dxa"/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Смена или переборка оштукатуренных перего</w:t>
            </w:r>
            <w:r>
              <w:rPr>
                <w:b/>
                <w:sz w:val="20"/>
              </w:rPr>
              <w:t>родок из досок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p w:rsidR="00000000" w:rsidRDefault="00622B33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>01. Разборка перегородок с отбивкой штукатурки. 02. Заготовка и пригонка перегородок по месту. 03. Установка и крепление обвязки или каркаса. 04. Установка досок в пазы обвязок со сверлением отверстий в кромках досок, изготовлением и установкой нагелей (нормы 1-3). 05. Обшивка каркаса досками с двух сторон (нормы 3-6).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перегородок (за вычетом проемов)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>Смена или переборка оштукатуренных перегородок из досок, забранных в обвязки с добавлением новых досок: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55-1</w:t>
            </w:r>
            <w:r>
              <w:rPr>
                <w:sz w:val="20"/>
              </w:rPr>
              <w:t>-1</w:t>
            </w:r>
          </w:p>
        </w:tc>
        <w:tc>
          <w:tcPr>
            <w:tcW w:w="921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55-1-2</w:t>
            </w:r>
          </w:p>
        </w:tc>
        <w:tc>
          <w:tcPr>
            <w:tcW w:w="921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55-1-3</w:t>
            </w:r>
          </w:p>
        </w:tc>
        <w:tc>
          <w:tcPr>
            <w:tcW w:w="921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50%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>Смена или переборка оштукатуренных каркасно-обшивных перегородок без засыпки с добавлением новых досок: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55-1-4</w:t>
            </w:r>
          </w:p>
        </w:tc>
        <w:tc>
          <w:tcPr>
            <w:tcW w:w="921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55-1-5</w:t>
            </w:r>
          </w:p>
        </w:tc>
        <w:tc>
          <w:tcPr>
            <w:tcW w:w="921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55-1-6</w:t>
            </w:r>
          </w:p>
        </w:tc>
        <w:tc>
          <w:tcPr>
            <w:tcW w:w="921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50%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p w:rsidR="00000000" w:rsidRDefault="00622B3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4251"/>
        <w:gridCol w:w="851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55-1-1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55-1-2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223,64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226,98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2,4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2,4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</w:t>
            </w:r>
            <w:r>
              <w:rPr>
                <w:b/>
                <w:sz w:val="20"/>
              </w:rPr>
              <w:t>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102-0025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Бруски обрезные толщиной 40-75 мм,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102-0121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Доски обрезные толщиной 44 мм и более.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101-1742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4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851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55-1-4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55-1-5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55-1-6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292,49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296,56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102-0025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Бруски обрезные толщиной 40-75 мм.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102-0112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Доски обрезные толщиной 25 мм, II сорта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102-0121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Доски обрезные толщиной 44 мм и более,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101-1742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</w:t>
            </w:r>
            <w:r>
              <w:rPr>
                <w:sz w:val="20"/>
              </w:rPr>
              <w:t>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3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55-2</w:t>
            </w:r>
          </w:p>
        </w:tc>
        <w:tc>
          <w:tcPr>
            <w:tcW w:w="3815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Перестановка филенчатых перегородок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p w:rsidR="00000000" w:rsidRDefault="00622B33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>01. Разборка перегородок. 02. Установка старых филенчатых полотен перегородок. 03. Пригонка новых готовых галтелей.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перегородок (за вычетом проемов)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55-2-1</w:t>
            </w:r>
          </w:p>
        </w:tc>
        <w:tc>
          <w:tcPr>
            <w:tcW w:w="3681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Перестановка филенчатых перегородок</w:t>
            </w:r>
          </w:p>
        </w:tc>
      </w:tr>
    </w:tbl>
    <w:p w:rsidR="00000000" w:rsidRDefault="00622B3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983"/>
        <w:gridCol w:w="1121"/>
        <w:gridCol w:w="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</w:t>
            </w:r>
            <w:r>
              <w:rPr>
                <w:b/>
                <w:sz w:val="20"/>
              </w:rPr>
              <w:t>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203-0259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Раскладки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4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1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p w:rsidR="00000000" w:rsidRDefault="00622B33">
      <w:pPr>
        <w:ind w:firstLine="284"/>
        <w:jc w:val="both"/>
        <w:rPr>
          <w:sz w:val="20"/>
        </w:rPr>
      </w:pPr>
    </w:p>
    <w:p w:rsidR="00000000" w:rsidRDefault="00622B33">
      <w:pPr>
        <w:ind w:firstLine="284"/>
        <w:jc w:val="both"/>
        <w:rPr>
          <w:sz w:val="20"/>
        </w:rPr>
      </w:pPr>
    </w:p>
    <w:p w:rsidR="00000000" w:rsidRDefault="00622B3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5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55-3</w:t>
            </w:r>
          </w:p>
        </w:tc>
        <w:tc>
          <w:tcPr>
            <w:tcW w:w="5390" w:type="dxa"/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Смена отдельных участков перегородок из стеклоблоков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p w:rsidR="00000000" w:rsidRDefault="00622B33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01. Удаление остатков битых стеклоблоков с расчисткой стыков от раствора. 02. Установка новых стеклоблоков на растворе.</w:t>
      </w:r>
    </w:p>
    <w:p w:rsidR="00000000" w:rsidRDefault="00622B33">
      <w:pPr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Измеритель:1 шт.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55-3-1</w:t>
            </w:r>
          </w:p>
        </w:tc>
        <w:tc>
          <w:tcPr>
            <w:tcW w:w="5151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Смена отдельных участков перегородок из стеклоблоков</w:t>
            </w:r>
          </w:p>
        </w:tc>
      </w:tr>
    </w:tbl>
    <w:p w:rsidR="00000000" w:rsidRDefault="00622B3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116"/>
        <w:gridCol w:w="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</w:t>
            </w:r>
            <w:r>
              <w:rPr>
                <w:sz w:val="20"/>
              </w:rPr>
              <w:t>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101-0083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Блоки стеклянные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402-9078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цементно-известковый</w:t>
            </w: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5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55-4</w:t>
            </w:r>
          </w:p>
        </w:tc>
        <w:tc>
          <w:tcPr>
            <w:tcW w:w="5553" w:type="dxa"/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Установка перегородок из гипсовых </w:t>
            </w:r>
            <w:proofErr w:type="spellStart"/>
            <w:r>
              <w:rPr>
                <w:b/>
                <w:sz w:val="20"/>
              </w:rPr>
              <w:t>пазогребневых</w:t>
            </w:r>
            <w:proofErr w:type="spellEnd"/>
            <w:r>
              <w:rPr>
                <w:b/>
                <w:sz w:val="20"/>
              </w:rPr>
              <w:t xml:space="preserve"> плит по технологии</w:t>
            </w:r>
            <w:r>
              <w:rPr>
                <w:b/>
                <w:sz w:val="20"/>
                <w:lang w:val="en-US"/>
              </w:rPr>
              <w:t xml:space="preserve"> «</w:t>
            </w:r>
            <w:proofErr w:type="spellStart"/>
            <w:r>
              <w:rPr>
                <w:b/>
                <w:sz w:val="20"/>
                <w:lang w:val="en-US"/>
              </w:rPr>
              <w:t>Knauf</w:t>
            </w:r>
            <w:proofErr w:type="spellEnd"/>
            <w:r>
              <w:rPr>
                <w:b/>
                <w:sz w:val="20"/>
                <w:lang w:val="en-US"/>
              </w:rPr>
              <w:t>»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p w:rsidR="00000000" w:rsidRDefault="00622B33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>01. Выравнивание готового основания раствором. 02. Приготовление гипсового монтажного клея. 03. Устройст</w:t>
      </w:r>
      <w:r>
        <w:rPr>
          <w:sz w:val="20"/>
        </w:rPr>
        <w:t>во по периметру перегородки изоляции из эластичных прокладок. 04. Установка плит на монтажном клее. 05. Затирка швов.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перегородок (за вычетом проемов)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 xml:space="preserve">Установка перегородок из гипсовых </w:t>
      </w:r>
      <w:proofErr w:type="spellStart"/>
      <w:r>
        <w:rPr>
          <w:sz w:val="20"/>
        </w:rPr>
        <w:t>пазогребневых</w:t>
      </w:r>
      <w:proofErr w:type="spellEnd"/>
      <w:r>
        <w:rPr>
          <w:sz w:val="20"/>
        </w:rPr>
        <w:t xml:space="preserve"> плит: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55-4-1</w:t>
            </w:r>
          </w:p>
        </w:tc>
        <w:tc>
          <w:tcPr>
            <w:tcW w:w="3486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в 1 слой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55-4-2</w:t>
            </w:r>
          </w:p>
        </w:tc>
        <w:tc>
          <w:tcPr>
            <w:tcW w:w="3486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в 1 слой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55-4-3</w:t>
            </w:r>
          </w:p>
        </w:tc>
        <w:tc>
          <w:tcPr>
            <w:tcW w:w="3486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в 2 слоя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55-4-4</w:t>
            </w:r>
          </w:p>
        </w:tc>
        <w:tc>
          <w:tcPr>
            <w:tcW w:w="3486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в 2 слоя при высоте этажа свыше 4 м</w:t>
            </w:r>
          </w:p>
        </w:tc>
      </w:tr>
    </w:tbl>
    <w:p w:rsidR="00000000" w:rsidRDefault="00622B3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3401"/>
        <w:gridCol w:w="992"/>
        <w:gridCol w:w="754"/>
        <w:gridCol w:w="754"/>
        <w:gridCol w:w="754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55-4-1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55-4-2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55-4-3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138,36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134,19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249,74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6,27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 мачтовый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110901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Растворосмеситель</w:t>
            </w:r>
            <w:proofErr w:type="spellEnd"/>
            <w:r>
              <w:rPr>
                <w:sz w:val="20"/>
              </w:rPr>
              <w:t xml:space="preserve"> передвижной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403-9096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гипсовые толщиной до 100 мм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202,4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104-9290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Прокладки пробковые 100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80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5 мм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101-9541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Сухой гипсовый </w:t>
            </w:r>
            <w:r>
              <w:rPr>
                <w:sz w:val="20"/>
              </w:rPr>
              <w:t>монтажный клей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0,340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5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55-5</w:t>
            </w:r>
          </w:p>
        </w:tc>
        <w:tc>
          <w:tcPr>
            <w:tcW w:w="5060" w:type="dxa"/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Разборка кирпичных перегородок на отдельные кирпичи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p w:rsidR="00000000" w:rsidRDefault="00622B33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>01. Разборка перегородок. 02. Очистка годного кирпича от раствора. 03. Складирование годного кирпича в штабель.</w:t>
      </w:r>
    </w:p>
    <w:p w:rsidR="00000000" w:rsidRDefault="00622B33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перегородок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1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55-5-1</w:t>
            </w:r>
          </w:p>
        </w:tc>
        <w:tc>
          <w:tcPr>
            <w:tcW w:w="5166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Разборка кирпичных перегородок на отдельные кирпичи</w:t>
            </w:r>
          </w:p>
        </w:tc>
      </w:tr>
    </w:tbl>
    <w:p w:rsidR="00000000" w:rsidRDefault="00622B3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5181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050101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330804</w:t>
            </w:r>
          </w:p>
        </w:tc>
        <w:tc>
          <w:tcPr>
            <w:tcW w:w="5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Молотки отбойные пневматические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999-9899</w:t>
            </w:r>
          </w:p>
        </w:tc>
        <w:tc>
          <w:tcPr>
            <w:tcW w:w="5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 и масса возвратных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55-6</w:t>
            </w:r>
          </w:p>
        </w:tc>
        <w:tc>
          <w:tcPr>
            <w:tcW w:w="5273" w:type="dxa"/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Пробивка проемов в перегородках со сплошным выравниванием откосов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p w:rsidR="00000000" w:rsidRDefault="00622B33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 xml:space="preserve">01. Пробивка проема. 02. Установка металлической перемычки (норма 2). 03. </w:t>
      </w:r>
      <w:proofErr w:type="spellStart"/>
      <w:r>
        <w:rPr>
          <w:sz w:val="20"/>
        </w:rPr>
        <w:t>Отеска</w:t>
      </w:r>
      <w:proofErr w:type="spellEnd"/>
      <w:r>
        <w:rPr>
          <w:sz w:val="20"/>
        </w:rPr>
        <w:t xml:space="preserve"> поверхности откосов. 04. Укрепление металлической с</w:t>
      </w:r>
      <w:r>
        <w:rPr>
          <w:sz w:val="20"/>
        </w:rPr>
        <w:t xml:space="preserve">етки на откосах. 05.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откосов. 06. Вырезка арматуры (норма 1). 07. Очистка годного кирпича от раствора, (норма 2). 08. Складирование годного кирпича в штабель (норма 2).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проемов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>Пробивка проемов со сплошным выравниванием откосов в перегородках: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55-6-1</w:t>
            </w:r>
          </w:p>
        </w:tc>
        <w:tc>
          <w:tcPr>
            <w:tcW w:w="1716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железобетонных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55-6-2</w:t>
            </w:r>
          </w:p>
        </w:tc>
        <w:tc>
          <w:tcPr>
            <w:tcW w:w="1716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кирпичных</w:t>
            </w:r>
          </w:p>
        </w:tc>
      </w:tr>
    </w:tbl>
    <w:p w:rsidR="00000000" w:rsidRDefault="00622B3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340"/>
        <w:gridCol w:w="4200"/>
        <w:gridCol w:w="1123"/>
        <w:gridCol w:w="822"/>
        <w:gridCol w:w="8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Ед.измер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55-6-1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050101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330804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Молотки отбойные пневматические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для газовой сварки и резки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101-1645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Швеллер №12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101-0872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стальная плетеная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цементно-известковые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101-0136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Дюбели стальные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101-1602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999-9899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 и масса возвратных материалов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4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55-7</w:t>
            </w:r>
          </w:p>
        </w:tc>
        <w:tc>
          <w:tcPr>
            <w:tcW w:w="4205" w:type="dxa"/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Заделка щелей в верхней части перегородок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p w:rsidR="00000000" w:rsidRDefault="00622B33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622B33">
      <w:pPr>
        <w:ind w:firstLine="284"/>
        <w:jc w:val="both"/>
        <w:rPr>
          <w:sz w:val="20"/>
        </w:rPr>
      </w:pPr>
      <w:r>
        <w:rPr>
          <w:sz w:val="20"/>
        </w:rPr>
        <w:t xml:space="preserve">01. Расчистка щелей. 02. Пропитка пакли раствором гипса. 03. Конопатка щелей. 04.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заделанной поверхности.</w:t>
      </w:r>
    </w:p>
    <w:p w:rsidR="00000000" w:rsidRDefault="00622B33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 заделанных щелей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55-7-1</w:t>
            </w:r>
          </w:p>
        </w:tc>
        <w:tc>
          <w:tcPr>
            <w:tcW w:w="4071" w:type="dxa"/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Заделка щелей в верхней части перегородок</w:t>
            </w:r>
          </w:p>
        </w:tc>
      </w:tr>
    </w:tbl>
    <w:p w:rsidR="00000000" w:rsidRDefault="00622B3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5103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55-7-1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</w:t>
            </w:r>
            <w:r>
              <w:rPr>
                <w:sz w:val="20"/>
              </w:rPr>
              <w:t>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цементно-известковые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101-0219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Гипс строительный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Пакля пропитанная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:rsidR="00000000" w:rsidRDefault="00622B33">
      <w:pPr>
        <w:ind w:firstLine="284"/>
        <w:jc w:val="both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B33"/>
    <w:rsid w:val="0062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1375</Words>
  <Characters>7842</Characters>
  <Application>Microsoft Office Word</Application>
  <DocSecurity>0</DocSecurity>
  <Lines>65</Lines>
  <Paragraphs>18</Paragraphs>
  <ScaleCrop>false</ScaleCrop>
  <Company>Elcom Ltd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