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5F87">
      <w:pPr>
        <w:pStyle w:val="9"/>
        <w:widowControl/>
        <w:ind w:firstLine="284"/>
      </w:pPr>
      <w:bookmarkStart w:id="0" w:name="_GoBack"/>
      <w:bookmarkEnd w:id="0"/>
      <w:r>
        <w:t>Государственный  комитет  Российской  Федерации</w:t>
      </w:r>
    </w:p>
    <w:p w:rsidR="00000000" w:rsidRDefault="00005F87">
      <w:pPr>
        <w:ind w:firstLine="284"/>
        <w:jc w:val="center"/>
      </w:pPr>
      <w:r>
        <w:t>по  строительному  и  жилищно-коммунальному  комплексу</w:t>
      </w:r>
    </w:p>
    <w:p w:rsidR="00000000" w:rsidRDefault="00005F87">
      <w:pPr>
        <w:ind w:firstLine="284"/>
        <w:jc w:val="center"/>
      </w:pPr>
      <w:r>
        <w:t>(Госстрой  России)</w:t>
      </w:r>
    </w:p>
    <w:p w:rsidR="00000000" w:rsidRDefault="00005F87">
      <w:pPr>
        <w:ind w:firstLine="284"/>
        <w:jc w:val="center"/>
      </w:pPr>
    </w:p>
    <w:p w:rsidR="00000000" w:rsidRDefault="00005F87">
      <w:pPr>
        <w:ind w:firstLine="284"/>
        <w:jc w:val="center"/>
        <w:rPr>
          <w:b/>
        </w:rPr>
      </w:pPr>
      <w:r>
        <w:rPr>
          <w:b/>
        </w:rPr>
        <w:t>ФЕДЕРАЛЬНЫЕ ЕДИНИЧНЫЕ  РАСЦЕНКИ</w:t>
      </w:r>
    </w:p>
    <w:p w:rsidR="00000000" w:rsidRDefault="00005F87">
      <w:pPr>
        <w:ind w:firstLine="284"/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005F87">
      <w:pPr>
        <w:ind w:firstLine="284"/>
        <w:jc w:val="center"/>
        <w:rPr>
          <w:b/>
        </w:rPr>
      </w:pPr>
    </w:p>
    <w:p w:rsidR="00000000" w:rsidRDefault="00005F87">
      <w:pPr>
        <w:ind w:firstLine="284"/>
        <w:jc w:val="center"/>
        <w:rPr>
          <w:b/>
          <w:i/>
        </w:rPr>
      </w:pPr>
      <w:r>
        <w:rPr>
          <w:b/>
          <w:i/>
        </w:rPr>
        <w:t>Сборник № 54</w:t>
      </w:r>
    </w:p>
    <w:p w:rsidR="00000000" w:rsidRDefault="00005F87">
      <w:pPr>
        <w:ind w:firstLine="284"/>
        <w:jc w:val="center"/>
        <w:rPr>
          <w:b/>
          <w:i/>
        </w:rPr>
      </w:pPr>
    </w:p>
    <w:p w:rsidR="00000000" w:rsidRDefault="00005F87">
      <w:pPr>
        <w:ind w:firstLine="284"/>
        <w:jc w:val="center"/>
        <w:rPr>
          <w:b/>
        </w:rPr>
      </w:pPr>
      <w:r>
        <w:rPr>
          <w:b/>
        </w:rPr>
        <w:t>Перекрытия</w:t>
      </w:r>
    </w:p>
    <w:p w:rsidR="00000000" w:rsidRDefault="00005F87">
      <w:pPr>
        <w:ind w:firstLine="284"/>
        <w:jc w:val="center"/>
        <w:rPr>
          <w:b/>
        </w:rPr>
      </w:pPr>
    </w:p>
    <w:p w:rsidR="00000000" w:rsidRDefault="00005F87">
      <w:pPr>
        <w:ind w:firstLine="284"/>
        <w:jc w:val="center"/>
        <w:rPr>
          <w:b/>
        </w:rPr>
      </w:pPr>
      <w:r>
        <w:rPr>
          <w:b/>
        </w:rPr>
        <w:t>ФЕРр-2001-54</w:t>
      </w:r>
    </w:p>
    <w:p w:rsidR="00000000" w:rsidRDefault="00005F87">
      <w:pPr>
        <w:pStyle w:val="style2"/>
        <w:widowControl/>
        <w:spacing w:before="0" w:after="0"/>
        <w:ind w:firstLine="284"/>
        <w:rPr>
          <w:rFonts w:ascii="Times New Roman" w:hAnsi="Times New Roman"/>
        </w:rPr>
      </w:pPr>
    </w:p>
    <w:p w:rsidR="00000000" w:rsidRDefault="00005F87">
      <w:pPr>
        <w:pStyle w:val="style2"/>
        <w:widowControl/>
        <w:spacing w:before="0" w:after="0"/>
        <w:ind w:firstLine="284"/>
        <w:rPr>
          <w:rFonts w:ascii="Times New Roman" w:hAnsi="Times New Roman"/>
        </w:rPr>
      </w:pPr>
    </w:p>
    <w:p w:rsidR="00000000" w:rsidRDefault="00005F87">
      <w:pPr>
        <w:pStyle w:val="style2"/>
        <w:widowControl/>
        <w:spacing w:before="0" w:after="0"/>
        <w:ind w:firstLine="284"/>
        <w:rPr>
          <w:rFonts w:ascii="Times New Roman" w:hAnsi="Times New Roman"/>
        </w:rPr>
      </w:pPr>
      <w:bookmarkStart w:id="1" w:name="сб54тч"/>
      <w:bookmarkEnd w:id="1"/>
      <w:r>
        <w:rPr>
          <w:rFonts w:ascii="Times New Roman" w:hAnsi="Times New Roman"/>
        </w:rPr>
        <w:t>Техническая часть</w:t>
      </w:r>
    </w:p>
    <w:p w:rsidR="00000000" w:rsidRDefault="00005F87">
      <w:pPr>
        <w:pStyle w:val="style2"/>
        <w:widowControl/>
        <w:spacing w:before="0" w:after="0"/>
        <w:ind w:firstLine="284"/>
        <w:rPr>
          <w:rFonts w:ascii="Times New Roman" w:hAnsi="Times New Roman"/>
        </w:rPr>
      </w:pPr>
    </w:p>
    <w:p w:rsidR="00000000" w:rsidRDefault="00005F87">
      <w:pPr>
        <w:pStyle w:val="style2"/>
        <w:widowControl/>
        <w:spacing w:before="0" w:after="0"/>
        <w:ind w:firstLine="284"/>
        <w:rPr>
          <w:rFonts w:ascii="Times New Roman" w:hAnsi="Times New Roman"/>
        </w:rPr>
      </w:pPr>
    </w:p>
    <w:p w:rsidR="00000000" w:rsidRDefault="00005F87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</w:t>
      </w:r>
      <w:r>
        <w:rPr>
          <w:rFonts w:ascii="Times New Roman" w:hAnsi="Times New Roman"/>
        </w:rPr>
        <w:t>е указания</w:t>
      </w:r>
    </w:p>
    <w:p w:rsidR="00000000" w:rsidRDefault="00005F87">
      <w:pPr>
        <w:ind w:firstLine="284"/>
        <w:jc w:val="both"/>
      </w:pPr>
    </w:p>
    <w:p w:rsidR="00000000" w:rsidRDefault="00005F87">
      <w:pPr>
        <w:ind w:firstLine="284"/>
        <w:jc w:val="both"/>
      </w:pPr>
      <w:r>
        <w:t>1.1. Сборник содержит единичные расценки на работы по разборке, ремонту и устройству перекрытий.</w:t>
      </w:r>
    </w:p>
    <w:p w:rsidR="00000000" w:rsidRDefault="00005F87">
      <w:pPr>
        <w:ind w:firstLine="284"/>
        <w:jc w:val="both"/>
      </w:pPr>
      <w:r>
        <w:t>1.2. В расценках учтен весь комплекс операций, необходимых при ремонте перекрытий, включая: устройство ограждений по технике безопасности; уборку материалов, отходов и мусора; сортировку и штабелировку материалов и отходов.</w:t>
      </w:r>
    </w:p>
    <w:p w:rsidR="00000000" w:rsidRDefault="00005F87">
      <w:pPr>
        <w:ind w:firstLine="284"/>
        <w:jc w:val="both"/>
      </w:pPr>
      <w:r>
        <w:t>1.3. В расценках учтена разборка конструкций на отдельные элементы.</w:t>
      </w:r>
    </w:p>
    <w:p w:rsidR="00000000" w:rsidRDefault="00005F87">
      <w:pPr>
        <w:ind w:firstLine="284"/>
        <w:jc w:val="both"/>
      </w:pPr>
      <w:r>
        <w:t>1.4. В расценках сборника предусмотрено выполнение работ по установке, перестановке и разборке подмостей для ус</w:t>
      </w:r>
      <w:r>
        <w:t>ловий производства работ в помещениях высотой до 4 м.  При работах в помещениях высотой более 4м затраты на устройство лесов следует определять дополнительно по расценкам сборника ФЕРр-2001-69 «Прочие ремонтно-строительные работы».</w:t>
      </w:r>
    </w:p>
    <w:p w:rsidR="00000000" w:rsidRDefault="00005F87">
      <w:pPr>
        <w:ind w:firstLine="284"/>
        <w:jc w:val="both"/>
      </w:pPr>
      <w:r>
        <w:t xml:space="preserve">1.5. В расценках не предусмотрены затраты на выполнение работ по </w:t>
      </w:r>
      <w:proofErr w:type="spellStart"/>
      <w:r>
        <w:t>антисептированию</w:t>
      </w:r>
      <w:proofErr w:type="spellEnd"/>
      <w:r>
        <w:t xml:space="preserve"> древесины. Затраты по </w:t>
      </w:r>
      <w:proofErr w:type="spellStart"/>
      <w:r>
        <w:t>антисептированию</w:t>
      </w:r>
      <w:proofErr w:type="spellEnd"/>
      <w:r>
        <w:t xml:space="preserve"> древесины следует определять по сборнику ФЕРр-2001-69 «Прочие ремонтно-строительные работы».</w:t>
      </w:r>
    </w:p>
    <w:p w:rsidR="00000000" w:rsidRDefault="00005F87">
      <w:pPr>
        <w:ind w:firstLine="284"/>
        <w:jc w:val="both"/>
      </w:pPr>
      <w:r>
        <w:t xml:space="preserve">1.6. В расценках учтено использование готового раствора и бетона. </w:t>
      </w:r>
    </w:p>
    <w:p w:rsidR="00000000" w:rsidRDefault="00005F87">
      <w:pPr>
        <w:ind w:firstLine="284"/>
        <w:jc w:val="both"/>
      </w:pPr>
    </w:p>
    <w:p w:rsidR="00000000" w:rsidRDefault="00005F87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Правила определения объемов работ</w:t>
      </w:r>
    </w:p>
    <w:p w:rsidR="00000000" w:rsidRDefault="00005F87">
      <w:pPr>
        <w:ind w:firstLine="284"/>
        <w:jc w:val="both"/>
      </w:pPr>
    </w:p>
    <w:p w:rsidR="00000000" w:rsidRDefault="00005F87">
      <w:pPr>
        <w:ind w:firstLine="284"/>
        <w:jc w:val="both"/>
      </w:pPr>
      <w:r>
        <w:t xml:space="preserve">2.1. Величина площади ремонтируемых перекрытий определяется в пределах капитальных стен без вычета величины площади, занимаемой печами и трубами. При частичной смене перекрытий отдельными местами, объем работ следует определять по площади между осями балок и капитальными стенами. </w:t>
      </w:r>
    </w:p>
    <w:p w:rsidR="00000000" w:rsidRDefault="00005F87">
      <w:pPr>
        <w:ind w:firstLine="284"/>
        <w:jc w:val="both"/>
      </w:pPr>
      <w:r>
        <w:t>2.2. Объем работ по разборке и устройству подшивки потолков определяется по величине площади подшивки.</w:t>
      </w:r>
    </w:p>
    <w:p w:rsidR="00000000" w:rsidRDefault="00005F87">
      <w:pPr>
        <w:ind w:firstLine="284"/>
        <w:jc w:val="both"/>
      </w:pPr>
      <w:r>
        <w:t>2.3. Объем работ по смене подборов перекрытий определяется по величине площади перекрыт</w:t>
      </w:r>
      <w:r>
        <w:t>ия (расстояние между осями балок, умноженное на длину сменяемого участка).</w:t>
      </w:r>
    </w:p>
    <w:p w:rsidR="00000000" w:rsidRDefault="00005F87">
      <w:pPr>
        <w:jc w:val="center"/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65"/>
        <w:gridCol w:w="1500"/>
        <w:gridCol w:w="990"/>
        <w:gridCol w:w="990"/>
        <w:gridCol w:w="772"/>
        <w:gridCol w:w="1134"/>
        <w:gridCol w:w="1028"/>
        <w:gridCol w:w="10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5F87">
            <w:pPr>
              <w:jc w:val="center"/>
            </w:pPr>
            <w:r>
              <w:t xml:space="preserve">Номера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:rsidR="00000000" w:rsidRDefault="00005F87">
            <w:pPr>
              <w:jc w:val="center"/>
            </w:pPr>
            <w:r>
              <w:t xml:space="preserve">Прямые </w:t>
            </w:r>
          </w:p>
        </w:tc>
        <w:tc>
          <w:tcPr>
            <w:tcW w:w="39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в том числе, руб.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left w:val="single" w:sz="6" w:space="0" w:color="auto"/>
            </w:tcBorders>
          </w:tcPr>
          <w:p w:rsidR="00000000" w:rsidRDefault="00005F87">
            <w:pPr>
              <w:jc w:val="center"/>
            </w:pPr>
            <w:r>
              <w:t>расценок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90" w:type="dxa"/>
            <w:tcBorders>
              <w:left w:val="nil"/>
            </w:tcBorders>
          </w:tcPr>
          <w:p w:rsidR="00000000" w:rsidRDefault="00005F87">
            <w:pPr>
              <w:jc w:val="center"/>
            </w:pPr>
            <w:r>
              <w:t>затраты,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эксплуатация машин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</w:tcBorders>
          </w:tcPr>
          <w:p w:rsidR="00000000" w:rsidRDefault="00005F87">
            <w:pPr>
              <w:jc w:val="center"/>
            </w:pPr>
            <w:r>
              <w:t>материалы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5F8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работ и конструкций</w:t>
            </w: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:rsidR="00000000" w:rsidRDefault="00005F87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рабочих-строителей</w:t>
            </w:r>
          </w:p>
        </w:tc>
        <w:tc>
          <w:tcPr>
            <w:tcW w:w="772" w:type="dxa"/>
            <w:tcBorders>
              <w:left w:val="nil"/>
              <w:bottom w:val="single" w:sz="6" w:space="0" w:color="auto"/>
            </w:tcBorders>
          </w:tcPr>
          <w:p w:rsidR="00000000" w:rsidRDefault="00005F87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в т.ч. заработная плата машинистов</w:t>
            </w:r>
          </w:p>
        </w:tc>
        <w:tc>
          <w:tcPr>
            <w:tcW w:w="1028" w:type="dxa"/>
            <w:tcBorders>
              <w:left w:val="nil"/>
              <w:bottom w:val="single" w:sz="6" w:space="0" w:color="auto"/>
            </w:tcBorders>
          </w:tcPr>
          <w:p w:rsidR="00000000" w:rsidRDefault="00005F87">
            <w:pPr>
              <w:jc w:val="center"/>
            </w:pP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строителей,</w:t>
            </w:r>
          </w:p>
          <w:p w:rsidR="00000000" w:rsidRDefault="00005F87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2" w:name="сб54_1"/>
            <w:bookmarkEnd w:id="2"/>
            <w:r>
              <w:rPr>
                <w:b/>
              </w:rPr>
              <w:t xml:space="preserve">ТАБЛИЦА  54-1.  Разборка перекрытий по стальным балкам с </w:t>
            </w:r>
            <w:proofErr w:type="spellStart"/>
            <w:r>
              <w:rPr>
                <w:b/>
              </w:rPr>
              <w:t>междубалочным</w:t>
            </w:r>
            <w:proofErr w:type="spellEnd"/>
            <w:r>
              <w:rPr>
                <w:b/>
              </w:rPr>
              <w:t xml:space="preserve"> заполнением из бетонных </w:t>
            </w:r>
            <w:proofErr w:type="spellStart"/>
            <w:r>
              <w:rPr>
                <w:b/>
              </w:rPr>
              <w:t>сводиков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перекрытий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lastRenderedPageBreak/>
              <w:t>54-1-1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Разборка перек</w:t>
            </w:r>
            <w:r>
              <w:t xml:space="preserve">рытий по стальным балкам с </w:t>
            </w:r>
            <w:proofErr w:type="spellStart"/>
            <w:r>
              <w:t>междубалочным</w:t>
            </w:r>
            <w:proofErr w:type="spellEnd"/>
            <w:r>
              <w:t xml:space="preserve"> заполнением из бетонных </w:t>
            </w:r>
            <w:proofErr w:type="spellStart"/>
            <w:r>
              <w:t>сводиков</w:t>
            </w:r>
            <w:proofErr w:type="spellEnd"/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5713,54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1721,11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3974,30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340,25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18,13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216,59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3" w:name="сб54_2"/>
            <w:bookmarkEnd w:id="3"/>
            <w:r>
              <w:rPr>
                <w:b/>
              </w:rPr>
              <w:t>ТАБЛИЦА  54-2.  Разборка стальных балок перекрытий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балка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54-2-1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Разборка стальных балок перекрытий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113,01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13,65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99,36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12,17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4" w:name="сб54_3"/>
            <w:bookmarkEnd w:id="4"/>
            <w:r>
              <w:rPr>
                <w:b/>
              </w:rPr>
              <w:t>ТАБЛИЦА  54-3.  Разборка подшивки потолков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подшивки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rPr>
                <w:b/>
              </w:rPr>
              <w:t>Разборка подшивки потолков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54-3-1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чистой из строганных досок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234,16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218,16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8,46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28,87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54-3-2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чистой из фанеры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117,18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115,38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1,80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0,95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54-3-3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оштукатурен</w:t>
            </w:r>
            <w:r>
              <w:t>ной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743,88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669,48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74,40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39,36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79,87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5" w:name="сб54_4"/>
            <w:bookmarkEnd w:id="5"/>
            <w:r>
              <w:rPr>
                <w:b/>
              </w:rPr>
              <w:t>ТАБЛИЦА  54-4.  Ремонт деревянных балок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концов (норма 1), 100 м брусков (норма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rPr>
                <w:b/>
              </w:rPr>
              <w:t>Ремонт деревянных балок с заменой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54-4-1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концов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32979,21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8098,46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2343,30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250,75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22537,45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914,32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54-4-2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черепных брусков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882,86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198,99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7,54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676,33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22,19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54-4-3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Ремонт деревянных балок нашивкой досок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1905,21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583,87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113,85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15,98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1207,49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68,47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6" w:name="сб54_5"/>
            <w:bookmarkEnd w:id="6"/>
            <w:r>
              <w:rPr>
                <w:b/>
              </w:rPr>
              <w:t>ТАБЛИЦА  54-5.  Ремонт деревянных перекрытий со сменой подборов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перекрытий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rPr>
                <w:b/>
              </w:rPr>
              <w:t>Ремонт деревянных пе</w:t>
            </w:r>
            <w:r>
              <w:rPr>
                <w:b/>
              </w:rPr>
              <w:t>рекрытий со сменой подборов 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54-5-1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досок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7730,64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1497,20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131,95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18,52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6101,49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180,18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54-5-2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горбыля, пластин неоштукатуренных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2561,07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1032,29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134,21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18,83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1394,57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126,44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54-5-3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горбыля, пластин оштукатуренных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2618,56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1089,78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134,21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18,83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1394,57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135,90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54-5-4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щитов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7127,08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1313,23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168,90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23,70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5644,95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158,04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7" w:name="сб54_6"/>
            <w:bookmarkEnd w:id="7"/>
            <w:r>
              <w:rPr>
                <w:b/>
              </w:rPr>
              <w:t>ТАБЛИЦА  54-6.  Врубка деревянного ригеля между балками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ригель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rPr>
                <w:b/>
              </w:rPr>
              <w:t>Врубка деревянного ригеля между балками 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54-6-1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разобранной подшивке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354,76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104,01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5,28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0,74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245,47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lastRenderedPageBreak/>
              <w:t>54-6</w:t>
            </w:r>
            <w:r>
              <w:t>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proofErr w:type="spellStart"/>
            <w:r>
              <w:t>неразобранной</w:t>
            </w:r>
            <w:proofErr w:type="spellEnd"/>
            <w:r>
              <w:t xml:space="preserve"> подшивке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426,45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136,93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6,03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0,85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283,49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8" w:name="сб54_7"/>
            <w:bookmarkEnd w:id="8"/>
            <w:r>
              <w:rPr>
                <w:b/>
              </w:rPr>
              <w:t>ТАБЛИЦА  54-7.  Смена засыпки перекрытия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перекрытия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rPr>
                <w:b/>
              </w:rPr>
              <w:t>Смена засыпки перекрытия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54-7-1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с укладкой толя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4268,21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1747,84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213,85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105,80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2306,52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235,10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54-7-2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со смазкой глиняным раствором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4228,12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2062,02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274,94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127,07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1891,16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277,36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9" w:name="сб54_8"/>
            <w:bookmarkEnd w:id="9"/>
            <w:r>
              <w:rPr>
                <w:b/>
              </w:rPr>
              <w:t>ТАБЛИЦА  54-8.  Укладка металлических балок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т металлоконструкций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rPr>
                <w:b/>
              </w:rPr>
              <w:t>Укладка металлических балок в перекрытиях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54-8-1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междуэтажных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8108,61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249,51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19,71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7839,39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29,26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54-8-2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ч</w:t>
            </w:r>
            <w:r>
              <w:t>ердачных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8091,56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232,46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19,71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7839,39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27,26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10" w:name="сб54_9"/>
            <w:bookmarkEnd w:id="10"/>
            <w:r>
              <w:rPr>
                <w:b/>
              </w:rPr>
              <w:t>ТАБЛИЦА  54-9.  Укладка плит перекрытий площадью до 0,8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с заделкой швов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54-9-1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Укладка плит перекрытий площадью до 0,8 м</w:t>
            </w:r>
            <w:r>
              <w:rPr>
                <w:vertAlign w:val="superscript"/>
              </w:rPr>
              <w:t>2</w:t>
            </w:r>
            <w:r>
              <w:t xml:space="preserve"> с заделкой швов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20402,54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956,94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298,08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36,50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19147,52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112,22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11" w:name="сб54_10"/>
            <w:bookmarkEnd w:id="11"/>
            <w:r>
              <w:rPr>
                <w:b/>
              </w:rPr>
              <w:t>ТАБЛИЦА  54-10.  Установка деревянной стойки под балки или прогоны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стоек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54-10-1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Установка деревянной стойки под балки или прогоны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7253,35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876,02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52,78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7,41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6324,55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107,30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12" w:name="сб54_11"/>
            <w:bookmarkEnd w:id="12"/>
            <w:r>
              <w:rPr>
                <w:b/>
              </w:rPr>
              <w:t>ТАБЛИЦА  54-11.  Установка металлических анкеров на ко</w:t>
            </w:r>
            <w:r>
              <w:rPr>
                <w:b/>
              </w:rPr>
              <w:t>нцы деревянных балок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кг анкеров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54-11-1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Установка металлических анкеров на концы деревянных балок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747,52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79,13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9,60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658,79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13" w:name="сб54_12"/>
            <w:bookmarkEnd w:id="13"/>
            <w:r>
              <w:rPr>
                <w:b/>
              </w:rPr>
              <w:t>ТАБЛИЦА  54-12.  Укрепление существующей подшивки потолка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подшивки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54-12-1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Укрепление существующей подшивки потолка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449,52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132,28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7,54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309,70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14" w:name="сб54_13"/>
            <w:bookmarkEnd w:id="14"/>
            <w:r>
              <w:rPr>
                <w:b/>
              </w:rPr>
              <w:t>ТАБЛИЦА  54-13.  Устранение просадки конца балки на опоре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54-13-1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Устранение просадки конца балки на опоре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8789,94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5561,54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1754,50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142,83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1473,90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669,30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15" w:name="сб54_14"/>
            <w:bookmarkEnd w:id="15"/>
            <w:r>
              <w:rPr>
                <w:b/>
              </w:rPr>
              <w:t>ТАБ</w:t>
            </w:r>
            <w:r>
              <w:rPr>
                <w:b/>
              </w:rPr>
              <w:t>ЛИЦА  54-14.  Укрепление концов деревянных балок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rPr>
                <w:b/>
              </w:rPr>
              <w:t>Укрепление концов деревянных балок у каменной стены при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54-14-1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proofErr w:type="spellStart"/>
            <w:r>
              <w:t>подбалки</w:t>
            </w:r>
            <w:proofErr w:type="spellEnd"/>
            <w:r>
              <w:t xml:space="preserve"> из бруса сверху или снизу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288,96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117,68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71,58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5,82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99,70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54-14-2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коротыша, заделываемого в стену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246,34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103,60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63,90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5,82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78,84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54-14-3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Укрепление концов деревянных балок у рубленой стены при помощи коротыша на болтах к стене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106,90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70,80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13,30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22,80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bookmarkStart w:id="16" w:name="сб54_15"/>
            <w:bookmarkEnd w:id="16"/>
            <w:r>
              <w:rPr>
                <w:b/>
              </w:rPr>
              <w:t>ТАБЛИЦА  54-15.  Укладка сборных железобетонных настилов перекрытия на существующи</w:t>
            </w:r>
            <w:r>
              <w:rPr>
                <w:b/>
              </w:rPr>
              <w:t>е каменные стены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005F87">
            <w:pPr>
              <w:jc w:val="both"/>
            </w:pPr>
          </w:p>
        </w:tc>
        <w:tc>
          <w:tcPr>
            <w:tcW w:w="7441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005F87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перекрытий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54-15-1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both"/>
            </w:pPr>
            <w:r>
              <w:t>Укладка сборных железобетонных настилов перекрытия на существующие каменные стены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16322,11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1209,79</w:t>
            </w:r>
          </w:p>
        </w:tc>
        <w:tc>
          <w:tcPr>
            <w:tcW w:w="77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4416,89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393,15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005F87">
            <w:pPr>
              <w:jc w:val="center"/>
            </w:pPr>
            <w:r>
              <w:t>10695,43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F87">
            <w:pPr>
              <w:jc w:val="center"/>
            </w:pPr>
            <w:r>
              <w:t>128,60</w:t>
            </w:r>
          </w:p>
        </w:tc>
      </w:tr>
    </w:tbl>
    <w:p w:rsidR="00000000" w:rsidRDefault="00005F87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F87"/>
    <w:rsid w:val="0000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widowControl w:val="0"/>
      <w:jc w:val="center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1">
    <w:name w:val="заголовок 1"/>
    <w:basedOn w:val="a"/>
    <w:next w:val="a"/>
    <w:pPr>
      <w:keepNext/>
      <w:widowControl w:val="0"/>
      <w:jc w:val="center"/>
    </w:pPr>
    <w:rPr>
      <w:b/>
    </w:rPr>
  </w:style>
  <w:style w:type="paragraph" w:customStyle="1" w:styleId="2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</w:rPr>
  </w:style>
  <w:style w:type="paragraph" w:customStyle="1" w:styleId="3">
    <w:name w:val="заголовок 3"/>
    <w:basedOn w:val="a"/>
    <w:next w:val="a"/>
    <w:pPr>
      <w:keepNext/>
      <w:keepLines/>
      <w:widowControl w:val="0"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</w:rPr>
  </w:style>
  <w:style w:type="paragraph" w:customStyle="1" w:styleId="4">
    <w:name w:val="заголовок 4"/>
    <w:basedOn w:val="a"/>
    <w:next w:val="a"/>
    <w:pPr>
      <w:keepNext/>
      <w:widowControl w:val="0"/>
      <w:jc w:val="center"/>
    </w:pPr>
    <w:rPr>
      <w:b/>
      <w:sz w:val="40"/>
    </w:rPr>
  </w:style>
  <w:style w:type="paragraph" w:customStyle="1" w:styleId="5">
    <w:name w:val="заголовок 5"/>
    <w:basedOn w:val="a"/>
    <w:next w:val="a"/>
    <w:pPr>
      <w:keepNext/>
      <w:widowControl w:val="0"/>
      <w:jc w:val="center"/>
    </w:pPr>
    <w:rPr>
      <w:b/>
      <w:sz w:val="36"/>
    </w:rPr>
  </w:style>
  <w:style w:type="paragraph" w:customStyle="1" w:styleId="6">
    <w:name w:val="заголовок 6"/>
    <w:basedOn w:val="a"/>
    <w:next w:val="a"/>
    <w:pPr>
      <w:keepNext/>
      <w:widowControl w:val="0"/>
      <w:jc w:val="center"/>
    </w:pPr>
    <w:rPr>
      <w:b/>
      <w:sz w:val="26"/>
    </w:rPr>
  </w:style>
  <w:style w:type="paragraph" w:customStyle="1" w:styleId="7">
    <w:name w:val="заголовок 7"/>
    <w:basedOn w:val="a"/>
    <w:next w:val="a"/>
    <w:pPr>
      <w:keepNext/>
      <w:widowControl w:val="0"/>
      <w:spacing w:before="120" w:after="120"/>
      <w:jc w:val="center"/>
    </w:pPr>
    <w:rPr>
      <w:b/>
      <w:sz w:val="44"/>
    </w:rPr>
  </w:style>
  <w:style w:type="paragraph" w:customStyle="1" w:styleId="8">
    <w:name w:val="заголовок 8"/>
    <w:basedOn w:val="a"/>
    <w:next w:val="a"/>
    <w:pPr>
      <w:keepNext/>
      <w:widowControl w:val="0"/>
      <w:jc w:val="center"/>
    </w:pPr>
    <w:rPr>
      <w:b/>
      <w:sz w:val="32"/>
    </w:rPr>
  </w:style>
  <w:style w:type="paragraph" w:customStyle="1" w:styleId="90">
    <w:name w:val="заголовок 9"/>
    <w:basedOn w:val="a"/>
    <w:next w:val="a"/>
    <w:pPr>
      <w:keepNext/>
      <w:widowControl w:val="0"/>
      <w:jc w:val="center"/>
    </w:pPr>
  </w:style>
  <w:style w:type="character" w:customStyle="1" w:styleId="a4">
    <w:name w:val="номер страницы"/>
    <w:basedOn w:val="a0"/>
    <w:rPr>
      <w:sz w:val="20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</w:p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</w:pPr>
  </w:style>
  <w:style w:type="paragraph" w:customStyle="1" w:styleId="style3">
    <w:name w:val="style3"/>
    <w:basedOn w:val="3"/>
    <w:pPr>
      <w:suppressLineNumbers w:val="0"/>
      <w:suppressAutoHyphens/>
      <w:spacing w:before="360" w:after="60"/>
    </w:pPr>
    <w:rPr>
      <w:rFonts w:ascii="SchoolBook" w:hAnsi="SchoolBook"/>
    </w:rPr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a7">
    <w:name w:val="Таблица"/>
    <w:basedOn w:val="a"/>
    <w:pPr>
      <w:keepNext/>
      <w:widowControl w:val="0"/>
      <w:suppressLineNumbers/>
      <w:suppressAutoHyphens/>
      <w:ind w:firstLine="425"/>
      <w:jc w:val="center"/>
    </w:pPr>
    <w:rPr>
      <w:rFonts w:ascii="Journal" w:hAnsi="Journal"/>
      <w:kern w:val="20"/>
      <w:sz w:val="22"/>
      <w:lang w:val="en-US"/>
    </w:rPr>
  </w:style>
  <w:style w:type="paragraph" w:customStyle="1" w:styleId="10">
    <w:name w:val="Стиль1"/>
    <w:basedOn w:val="a"/>
    <w:pPr>
      <w:keepNext/>
      <w:widowControl w:val="0"/>
      <w:suppressLineNumbers/>
      <w:suppressAutoHyphens/>
      <w:ind w:left="708" w:hanging="283"/>
      <w:jc w:val="center"/>
    </w:pPr>
    <w:rPr>
      <w:rFonts w:ascii="SchoolBook" w:hAnsi="SchoolBook"/>
      <w:b/>
      <w:sz w:val="22"/>
    </w:rPr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</w:rPr>
  </w:style>
  <w:style w:type="paragraph" w:customStyle="1" w:styleId="ConsNonformat">
    <w:name w:val="ConsNon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8">
    <w:name w:val="шапка"/>
    <w:basedOn w:val="a7"/>
    <w:pPr>
      <w:keepNext w:val="0"/>
      <w:keepLines/>
      <w:suppressLineNumbers w:val="0"/>
      <w:suppressAutoHyphens w:val="0"/>
      <w:ind w:firstLine="0"/>
    </w:pPr>
    <w:rPr>
      <w:rFonts w:ascii="TextBook" w:hAnsi="TextBook"/>
      <w:spacing w:val="-2"/>
      <w:kern w:val="0"/>
      <w:sz w:val="18"/>
      <w:lang w:val="ru-RU"/>
    </w:rPr>
  </w:style>
  <w:style w:type="paragraph" w:styleId="a9">
    <w:name w:val="Body Text Indent"/>
    <w:basedOn w:val="a"/>
    <w:pPr>
      <w:widowControl w:val="0"/>
      <w:jc w:val="center"/>
    </w:pPr>
    <w:rPr>
      <w:b/>
    </w:rPr>
  </w:style>
  <w:style w:type="paragraph" w:styleId="20">
    <w:name w:val="Body Text Indent 2"/>
    <w:basedOn w:val="a"/>
    <w:pPr>
      <w:keepNext/>
      <w:widowControl w:val="0"/>
      <w:suppressLineNumbers/>
      <w:suppressAutoHyphens/>
      <w:ind w:firstLine="720"/>
      <w:jc w:val="both"/>
    </w:pPr>
    <w:rPr>
      <w:sz w:val="22"/>
    </w:rPr>
  </w:style>
  <w:style w:type="paragraph" w:styleId="30">
    <w:name w:val="Body Text Indent 3"/>
    <w:basedOn w:val="a"/>
    <w:pPr>
      <w:keepNext/>
      <w:widowControl w:val="0"/>
      <w:suppressLineNumbers/>
      <w:suppressAutoHyphens/>
      <w:ind w:firstLine="425"/>
      <w:jc w:val="both"/>
    </w:pPr>
  </w:style>
  <w:style w:type="paragraph" w:customStyle="1" w:styleId="aa">
    <w:name w:val="таблица"/>
    <w:basedOn w:val="a"/>
    <w:pPr>
      <w:keepLines/>
      <w:widowControl w:val="0"/>
      <w:jc w:val="center"/>
    </w:pPr>
    <w:rPr>
      <w:rFonts w:ascii="TextBook" w:hAnsi="TextBook"/>
      <w:spacing w:val="-2"/>
    </w:rPr>
  </w:style>
  <w:style w:type="paragraph" w:customStyle="1" w:styleId="ab">
    <w:name w:val="&lt;таблица"/>
    <w:basedOn w:val="aa"/>
    <w:pPr>
      <w:ind w:left="57"/>
      <w:jc w:val="left"/>
    </w:pPr>
  </w:style>
  <w:style w:type="paragraph" w:customStyle="1" w:styleId="Rith">
    <w:name w:val="Rith"/>
    <w:basedOn w:val="a"/>
    <w:pPr>
      <w:widowControl w:val="0"/>
      <w:suppressLineNumbers/>
      <w:spacing w:before="120"/>
      <w:jc w:val="right"/>
    </w:pPr>
    <w:rPr>
      <w:spacing w:val="-2"/>
    </w:rPr>
  </w:style>
  <w:style w:type="paragraph" w:styleId="31">
    <w:name w:val="Body Text 3"/>
    <w:basedOn w:val="a"/>
    <w:pPr>
      <w:widowControl w:val="0"/>
      <w:jc w:val="both"/>
    </w:pPr>
    <w:rPr>
      <w:b/>
      <w:sz w:val="28"/>
    </w:rPr>
  </w:style>
  <w:style w:type="paragraph" w:customStyle="1" w:styleId="BodyText21">
    <w:name w:val="Body Text 21"/>
    <w:basedOn w:val="a"/>
    <w:pPr>
      <w:widowControl w:val="0"/>
      <w:ind w:firstLine="720"/>
      <w:jc w:val="both"/>
    </w:pPr>
  </w:style>
  <w:style w:type="character" w:styleId="ac">
    <w:name w:val="Hyperlink"/>
    <w:basedOn w:val="a3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5171</Characters>
  <Application>Microsoft Office Word</Application>
  <DocSecurity>0</DocSecurity>
  <Lines>43</Lines>
  <Paragraphs>12</Paragraphs>
  <ScaleCrop>false</ScaleCrop>
  <Company>Пермский ЦНТИ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