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07C5">
      <w:pPr>
        <w:pStyle w:val="9"/>
        <w:widowControl/>
        <w:ind w:firstLine="284"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6607C5">
      <w:pPr>
        <w:ind w:firstLine="284"/>
        <w:jc w:val="center"/>
      </w:pPr>
      <w:r>
        <w:t>по  строительному  и  жилищно-коммунальному  комплексу</w:t>
      </w:r>
    </w:p>
    <w:p w:rsidR="00000000" w:rsidRDefault="006607C5">
      <w:pPr>
        <w:ind w:firstLine="284"/>
        <w:jc w:val="center"/>
      </w:pPr>
      <w:r>
        <w:t>(Госстрой  России)</w:t>
      </w:r>
    </w:p>
    <w:p w:rsidR="00000000" w:rsidRDefault="006607C5">
      <w:pPr>
        <w:ind w:firstLine="284"/>
        <w:jc w:val="center"/>
        <w:rPr>
          <w:b/>
        </w:rPr>
      </w:pPr>
    </w:p>
    <w:p w:rsidR="00000000" w:rsidRDefault="006607C5">
      <w:pPr>
        <w:pStyle w:val="4"/>
        <w:widowControl/>
        <w:ind w:firstLine="284"/>
        <w:rPr>
          <w:sz w:val="20"/>
        </w:rPr>
      </w:pPr>
      <w:r>
        <w:rPr>
          <w:sz w:val="20"/>
        </w:rPr>
        <w:t>ФЕДЕРАЛЬНЫЕ ЕДИНИЧНЫЕ РАСЦЕНКИ</w:t>
      </w:r>
    </w:p>
    <w:p w:rsidR="00000000" w:rsidRDefault="006607C5">
      <w:pPr>
        <w:pStyle w:val="4"/>
        <w:widowControl/>
        <w:ind w:firstLine="284"/>
        <w:rPr>
          <w:sz w:val="20"/>
        </w:rPr>
      </w:pPr>
      <w:r>
        <w:rPr>
          <w:sz w:val="20"/>
        </w:rPr>
        <w:t>НА  РЕМОНТНО-СТРОИТЕЛЬНЫЕ РАБОТЫ</w:t>
      </w:r>
    </w:p>
    <w:p w:rsidR="00000000" w:rsidRDefault="006607C5">
      <w:pPr>
        <w:ind w:firstLine="284"/>
        <w:jc w:val="center"/>
        <w:rPr>
          <w:b/>
        </w:rPr>
      </w:pPr>
    </w:p>
    <w:p w:rsidR="00000000" w:rsidRDefault="006607C5">
      <w:pPr>
        <w:pStyle w:val="5"/>
        <w:widowControl/>
        <w:ind w:firstLine="284"/>
        <w:rPr>
          <w:sz w:val="20"/>
        </w:rPr>
      </w:pPr>
      <w:r>
        <w:rPr>
          <w:sz w:val="20"/>
        </w:rPr>
        <w:t>ФЕРр-2001</w:t>
      </w:r>
    </w:p>
    <w:p w:rsidR="00000000" w:rsidRDefault="006607C5">
      <w:pPr>
        <w:ind w:firstLine="284"/>
        <w:jc w:val="center"/>
        <w:rPr>
          <w:b/>
        </w:rPr>
      </w:pPr>
    </w:p>
    <w:p w:rsidR="00000000" w:rsidRDefault="006607C5">
      <w:pPr>
        <w:pStyle w:val="5"/>
        <w:widowControl/>
        <w:ind w:firstLine="284"/>
        <w:rPr>
          <w:sz w:val="20"/>
        </w:rPr>
      </w:pPr>
      <w:r>
        <w:rPr>
          <w:sz w:val="20"/>
        </w:rPr>
        <w:t>Сборник № 51</w:t>
      </w:r>
    </w:p>
    <w:p w:rsidR="00000000" w:rsidRDefault="006607C5">
      <w:pPr>
        <w:jc w:val="center"/>
      </w:pPr>
    </w:p>
    <w:p w:rsidR="00000000" w:rsidRDefault="006607C5">
      <w:pPr>
        <w:pStyle w:val="7"/>
        <w:widowControl/>
        <w:spacing w:before="0" w:after="0"/>
        <w:ind w:firstLine="284"/>
        <w:rPr>
          <w:sz w:val="20"/>
        </w:rPr>
      </w:pPr>
      <w:bookmarkStart w:id="1" w:name="сб51"/>
      <w:bookmarkEnd w:id="1"/>
      <w:r>
        <w:rPr>
          <w:sz w:val="20"/>
        </w:rPr>
        <w:t>Земляные работы</w:t>
      </w:r>
    </w:p>
    <w:p w:rsidR="00000000" w:rsidRDefault="006607C5">
      <w:pPr>
        <w:ind w:firstLine="284"/>
        <w:jc w:val="center"/>
      </w:pPr>
    </w:p>
    <w:p w:rsidR="00000000" w:rsidRDefault="006607C5">
      <w:pPr>
        <w:pStyle w:val="8"/>
        <w:widowControl/>
        <w:ind w:firstLine="284"/>
        <w:rPr>
          <w:sz w:val="20"/>
        </w:rPr>
      </w:pPr>
      <w:r>
        <w:rPr>
          <w:sz w:val="20"/>
        </w:rPr>
        <w:t>ФЕРр-2001-51</w:t>
      </w:r>
    </w:p>
    <w:p w:rsidR="00000000" w:rsidRDefault="006607C5">
      <w:pPr>
        <w:ind w:firstLine="284"/>
        <w:jc w:val="center"/>
      </w:pPr>
    </w:p>
    <w:p w:rsidR="00000000" w:rsidRDefault="006607C5">
      <w:pPr>
        <w:ind w:firstLine="284"/>
        <w:jc w:val="center"/>
      </w:pPr>
    </w:p>
    <w:p w:rsidR="00000000" w:rsidRDefault="006607C5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  <w:bookmarkStart w:id="2" w:name="сб51тч"/>
      <w:bookmarkEnd w:id="2"/>
      <w:r>
        <w:rPr>
          <w:rFonts w:ascii="Times New Roman" w:hAnsi="Times New Roman"/>
        </w:rPr>
        <w:t>Техническая</w:t>
      </w:r>
      <w:r>
        <w:rPr>
          <w:rFonts w:ascii="Times New Roman" w:hAnsi="Times New Roman"/>
        </w:rPr>
        <w:t xml:space="preserve"> часть</w:t>
      </w:r>
    </w:p>
    <w:p w:rsidR="00000000" w:rsidRDefault="006607C5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6607C5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Общие указания</w:t>
      </w:r>
    </w:p>
    <w:p w:rsidR="00000000" w:rsidRDefault="006607C5">
      <w:pPr>
        <w:ind w:firstLine="284"/>
        <w:jc w:val="both"/>
      </w:pPr>
    </w:p>
    <w:p w:rsidR="00000000" w:rsidRDefault="006607C5">
      <w:pPr>
        <w:ind w:firstLine="284"/>
        <w:jc w:val="both"/>
      </w:pPr>
      <w:r>
        <w:t>1.1. Сборник содержит единичные расценки на измерители работ по разработке и перемещению грунтов при ремонте, подводке, смене или усилении фундаментов и оснований, а также при изменении уровня полов в здании.</w:t>
      </w:r>
    </w:p>
    <w:p w:rsidR="00000000" w:rsidRDefault="006607C5">
      <w:pPr>
        <w:ind w:firstLine="284"/>
        <w:jc w:val="both"/>
      </w:pPr>
      <w:r>
        <w:t>1.2. Расценки учитывают затраты на весь комплекс работ, включая разрыхление грунта, необходимые дополнительные перекидки, очистку бровок, подноску и уборку материалов крепления.</w:t>
      </w:r>
    </w:p>
    <w:p w:rsidR="00000000" w:rsidRDefault="006607C5">
      <w:pPr>
        <w:ind w:firstLine="284"/>
        <w:jc w:val="both"/>
      </w:pPr>
      <w:r>
        <w:t>1.3. Затраты определены на измерители объема грунтов в состоянии естественной плотности.</w:t>
      </w:r>
    </w:p>
    <w:p w:rsidR="00000000" w:rsidRDefault="006607C5">
      <w:pPr>
        <w:ind w:firstLine="284"/>
        <w:jc w:val="both"/>
      </w:pPr>
      <w:r>
        <w:t>1.4. Расц</w:t>
      </w:r>
      <w:r>
        <w:t xml:space="preserve">енки на разработку грунтов в котловинах и траншеях учитывают послойное залегание грунтов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групп на полную глубину котлована (траншеи) при следующем усредненном соотношении грунтов:</w:t>
      </w:r>
    </w:p>
    <w:p w:rsidR="00000000" w:rsidRDefault="006607C5">
      <w:pPr>
        <w:ind w:firstLine="284"/>
        <w:jc w:val="both"/>
      </w:pPr>
      <w:r>
        <w:rPr>
          <w:lang w:val="en-US"/>
        </w:rPr>
        <w:t>I</w:t>
      </w:r>
      <w:r>
        <w:t xml:space="preserve">  группа     –  10%;</w:t>
      </w:r>
    </w:p>
    <w:p w:rsidR="00000000" w:rsidRDefault="006607C5">
      <w:pPr>
        <w:ind w:firstLine="284"/>
        <w:jc w:val="both"/>
      </w:pPr>
      <w:r>
        <w:rPr>
          <w:lang w:val="en-US"/>
        </w:rPr>
        <w:t>II</w:t>
      </w:r>
      <w:r>
        <w:t xml:space="preserve">  группа    –  50%;</w:t>
      </w:r>
    </w:p>
    <w:p w:rsidR="00000000" w:rsidRDefault="006607C5">
      <w:pPr>
        <w:ind w:firstLine="284"/>
        <w:jc w:val="both"/>
      </w:pPr>
      <w:r>
        <w:rPr>
          <w:lang w:val="en-US"/>
        </w:rPr>
        <w:t>III</w:t>
      </w:r>
      <w:r>
        <w:t xml:space="preserve">  группа   –  40%.</w:t>
      </w:r>
    </w:p>
    <w:p w:rsidR="00000000" w:rsidRDefault="006607C5">
      <w:pPr>
        <w:ind w:firstLine="284"/>
        <w:jc w:val="both"/>
      </w:pPr>
      <w:r>
        <w:t>1.5. В расценках таблиц 1 и 2 учтено устройство креплений котлованов (траншей) в неустойчивых грунтах. При этом в расценках принята разработка грунтов:</w:t>
      </w:r>
    </w:p>
    <w:p w:rsidR="00000000" w:rsidRDefault="006607C5">
      <w:pPr>
        <w:ind w:firstLine="284"/>
        <w:jc w:val="both"/>
      </w:pPr>
      <w:r>
        <w:t xml:space="preserve">с креплениями    –  70%; </w:t>
      </w:r>
    </w:p>
    <w:p w:rsidR="00000000" w:rsidRDefault="006607C5">
      <w:pPr>
        <w:ind w:firstLine="284"/>
        <w:jc w:val="both"/>
      </w:pPr>
      <w:r>
        <w:t>без  креплений    –  30%.</w:t>
      </w:r>
    </w:p>
    <w:p w:rsidR="00000000" w:rsidRDefault="006607C5">
      <w:pPr>
        <w:ind w:firstLine="284"/>
        <w:jc w:val="both"/>
      </w:pPr>
      <w:r>
        <w:t>К неустойчивым грунтам следует относить песчаные, гравел</w:t>
      </w:r>
      <w:r>
        <w:t>истые и другие несвязные грунты, а к устойчивым – глинистые, суглинистые и другие связные грунты.</w:t>
      </w:r>
    </w:p>
    <w:p w:rsidR="00000000" w:rsidRDefault="006607C5">
      <w:pPr>
        <w:ind w:firstLine="284"/>
        <w:jc w:val="both"/>
      </w:pPr>
      <w:r>
        <w:t>1.6. Расценки на разработку грунтов рассчитаны исходя из условий их естественной влажности, т.е. не находящихся во время их разработки под непосредственным воздействием грунтовых, проточных или дождевых вод. Расценки таблиц 2 и 5 учитывают разработку грунтов естественной (нормальной) влажности в объеме 70%, повышенной влажности – 30%.</w:t>
      </w:r>
    </w:p>
    <w:p w:rsidR="00000000" w:rsidRDefault="006607C5">
      <w:pPr>
        <w:ind w:firstLine="284"/>
        <w:jc w:val="both"/>
      </w:pPr>
      <w:r>
        <w:t>1.7. В расценках таблицы 5 учтена разработка грунтов одноковшовыми экскаватор</w:t>
      </w:r>
      <w:r>
        <w:t>ами, оборудованными обратной лопатой, с ковшом вместимостью 0,25 м</w:t>
      </w:r>
      <w:r>
        <w:rPr>
          <w:vertAlign w:val="superscript"/>
        </w:rPr>
        <w:t>3</w:t>
      </w:r>
      <w:r>
        <w:t xml:space="preserve"> и углом поворота стрелы до 135 град., и бульдозерами 37 (50) кВт (л.с.). Затраты на засыпку траншей и котлованов рассчитаны исходя из выполнения работ вручную в объеме 50%, с использованием бульдозера – 50%.</w:t>
      </w:r>
    </w:p>
    <w:p w:rsidR="00000000" w:rsidRDefault="006607C5">
      <w:pPr>
        <w:ind w:firstLine="284"/>
        <w:jc w:val="both"/>
      </w:pPr>
      <w:r>
        <w:t xml:space="preserve">1.8. Затраты на разработку грунта механизированным способом рассчитаны с учетом времени внутрисменных перерывов в работе машин, не связанных с организацией производства, а также времени перерывов в связи с переходом самоходных машин из </w:t>
      </w:r>
      <w:r>
        <w:t>одной рабочей зоны в другую и времени использования машин для выполнения трудно поддающихся нормированию операций.</w:t>
      </w:r>
    </w:p>
    <w:p w:rsidR="00000000" w:rsidRDefault="006607C5">
      <w:pPr>
        <w:ind w:firstLine="284"/>
        <w:jc w:val="both"/>
      </w:pPr>
      <w:r>
        <w:t>1.9. Расценками учтено перемещение грунта тачками на расстояние до 20 м.</w:t>
      </w:r>
    </w:p>
    <w:p w:rsidR="00000000" w:rsidRDefault="006607C5">
      <w:pPr>
        <w:ind w:firstLine="284"/>
        <w:jc w:val="both"/>
      </w:pPr>
      <w:r>
        <w:t>1.10. Коэффициенты на стесненные условия производства работ, предусмотренные Общими указаниями по применению ФЕРр-2001 к  расценкам таблицы 5 не применяются.</w:t>
      </w:r>
    </w:p>
    <w:p w:rsidR="00000000" w:rsidRDefault="006607C5">
      <w:pPr>
        <w:pStyle w:val="3"/>
        <w:widowControl/>
        <w:tabs>
          <w:tab w:val="left" w:pos="709"/>
        </w:tabs>
        <w:spacing w:before="0" w:after="0"/>
        <w:ind w:left="0" w:firstLine="284"/>
        <w:rPr>
          <w:rFonts w:ascii="Times New Roman" w:hAnsi="Times New Roman"/>
          <w:spacing w:val="0"/>
        </w:rPr>
      </w:pPr>
    </w:p>
    <w:p w:rsidR="00000000" w:rsidRDefault="006607C5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 Правила определения объемов работ</w:t>
      </w:r>
    </w:p>
    <w:p w:rsidR="00000000" w:rsidRDefault="006607C5">
      <w:pPr>
        <w:ind w:firstLine="284"/>
        <w:jc w:val="both"/>
      </w:pPr>
    </w:p>
    <w:p w:rsidR="00000000" w:rsidRDefault="006607C5">
      <w:pPr>
        <w:ind w:firstLine="284"/>
        <w:jc w:val="both"/>
      </w:pPr>
      <w:r>
        <w:lastRenderedPageBreak/>
        <w:t>2.1. Объем земляных работ следует определять по проектным данным или описанию работ.</w:t>
      </w:r>
    </w:p>
    <w:p w:rsidR="00000000" w:rsidRDefault="006607C5">
      <w:pPr>
        <w:ind w:firstLine="284"/>
        <w:jc w:val="both"/>
      </w:pPr>
      <w:r>
        <w:t>2.2. Глубину котлованов или траншей следуе</w:t>
      </w:r>
      <w:r>
        <w:t>т определять от черной отметки земли или подошвы подстилающего слоя под полы до отметки заложения фундаментов или трубопроводов (подошвы основания фундаментов или трубопроводов).</w:t>
      </w:r>
    </w:p>
    <w:p w:rsidR="00000000" w:rsidRDefault="006607C5">
      <w:pPr>
        <w:ind w:firstLine="284"/>
        <w:jc w:val="both"/>
      </w:pPr>
      <w:r>
        <w:t>2.3. Ширина котлованов и траншей по дну принимается для рытья с откосами равной ширине основания под фундаменты, а при наличии креплений – равной ширине фундамента с добавлением 0,15 м с каждой стороны.</w:t>
      </w:r>
    </w:p>
    <w:p w:rsidR="00000000" w:rsidRDefault="006607C5">
      <w:pPr>
        <w:ind w:firstLine="284"/>
        <w:jc w:val="both"/>
      </w:pPr>
      <w:r>
        <w:t>При необходимости спуска рабочих в котлован наименьшая ширина между боковой поверхностью конструкции и креплениями должна составля</w:t>
      </w:r>
      <w:r>
        <w:t>ть не менее 0,7 метра.</w:t>
      </w:r>
    </w:p>
    <w:p w:rsidR="00000000" w:rsidRDefault="006607C5">
      <w:pPr>
        <w:ind w:firstLine="284"/>
        <w:jc w:val="both"/>
      </w:pPr>
      <w:r>
        <w:t>2.4. При определении объема разработки мокрых грунтов следует относить к мокрым грунтам как грунты, лежащие ниже уровня грунтовых вод, так и грунты, расположенные выше этого уровня:</w:t>
      </w:r>
    </w:p>
    <w:p w:rsidR="00000000" w:rsidRDefault="006607C5">
      <w:pPr>
        <w:ind w:firstLine="284"/>
        <w:jc w:val="both"/>
      </w:pPr>
      <w:r>
        <w:t xml:space="preserve">на 0,3 м – для песков (кроме пылеватых); </w:t>
      </w:r>
    </w:p>
    <w:p w:rsidR="00000000" w:rsidRDefault="006607C5">
      <w:pPr>
        <w:ind w:firstLine="284"/>
        <w:jc w:val="both"/>
      </w:pPr>
      <w:r>
        <w:t>на 0,5 м – для песков пылеватых и супесей;</w:t>
      </w:r>
    </w:p>
    <w:p w:rsidR="00000000" w:rsidRDefault="006607C5">
      <w:pPr>
        <w:ind w:firstLine="284"/>
        <w:jc w:val="both"/>
      </w:pPr>
      <w:r>
        <w:t>на 1,0 м – для суглинков, глин и лессовых грунтов.</w:t>
      </w:r>
    </w:p>
    <w:p w:rsidR="00000000" w:rsidRDefault="006607C5">
      <w:pPr>
        <w:ind w:firstLine="284"/>
        <w:jc w:val="both"/>
      </w:pPr>
      <w:r>
        <w:t>2.5. Объем подсыпаемого грунта, используемого для изменения уровня полов в здании, принят с коэффициентом 1,05.</w:t>
      </w:r>
    </w:p>
    <w:p w:rsidR="00000000" w:rsidRDefault="006607C5">
      <w:pPr>
        <w:ind w:firstLine="284"/>
        <w:jc w:val="both"/>
      </w:pPr>
      <w:r>
        <w:t>2.6. Объем излишнего грунта, подлежащего отвозке, определяе</w:t>
      </w:r>
      <w:r>
        <w:t>тся по расчету с учетом объема уложенных в дело конструкций.</w:t>
      </w:r>
    </w:p>
    <w:p w:rsidR="00000000" w:rsidRDefault="006607C5">
      <w:pPr>
        <w:ind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1495"/>
        <w:gridCol w:w="900"/>
        <w:gridCol w:w="1066"/>
        <w:gridCol w:w="776"/>
        <w:gridCol w:w="1134"/>
        <w:gridCol w:w="994"/>
        <w:gridCol w:w="11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Номера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Прямые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в том числе, руб.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расценок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затраты,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заработная 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эксплуатация машин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материалы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 xml:space="preserve">труда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строительных работ и конструкций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руб.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плата рабочих-строителей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рабочих строителей,</w:t>
            </w:r>
          </w:p>
          <w:p w:rsidR="00000000" w:rsidRDefault="006607C5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both"/>
              <w:rPr>
                <w:b/>
              </w:rPr>
            </w:pPr>
            <w:bookmarkStart w:id="3" w:name="сб51_1"/>
            <w:bookmarkEnd w:id="3"/>
            <w:r>
              <w:rPr>
                <w:b/>
              </w:rPr>
              <w:t>ТАБЛИЦА 51-1. Разработка грунта внутри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rPr>
                <w:b/>
              </w:rPr>
              <w:t>Разработка грунта внутри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51-1-1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в котлованах глубиной до 3 м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7294,44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5203,37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7,54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1,06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2083,53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667,00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51-1-2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в котлованах глубиной до 3 м площадью более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4878,82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3902,06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3,77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0,53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972,99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500,19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51-1-3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в котлованах глубиной более 3 м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8511,05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5864,44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15,08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2,12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2631,53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751,74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51-1-4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в котлованах глубиной более 3 м площадью более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5724,15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4736,86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4,52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982,77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607,20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51-1-5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в траншеях глубиной до 3 м шириной до 1,5 м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5670,52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4049,58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7,54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1,06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1613,40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519,10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51-1-6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r>
              <w:t>в траншеях глубиной до 3 м шириной более 1,5 м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4982,33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3998,87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4,52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0,63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978,9</w:t>
            </w:r>
            <w:r>
              <w:t>4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512,60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51-1-7</w:t>
            </w:r>
          </w:p>
        </w:tc>
        <w:tc>
          <w:tcPr>
            <w:tcW w:w="14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r>
              <w:t>в траншеях глубиной более 3 м шириной более 1,5 м</w:t>
            </w:r>
          </w:p>
        </w:tc>
        <w:tc>
          <w:tcPr>
            <w:tcW w:w="90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4347,09</w:t>
            </w:r>
          </w:p>
        </w:tc>
        <w:tc>
          <w:tcPr>
            <w:tcW w:w="10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3640,02</w:t>
            </w:r>
          </w:p>
        </w:tc>
        <w:tc>
          <w:tcPr>
            <w:tcW w:w="7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3,77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0,53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703,30</w:t>
            </w:r>
          </w:p>
        </w:tc>
        <w:tc>
          <w:tcPr>
            <w:tcW w:w="1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466,60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both"/>
              <w:rPr>
                <w:b/>
              </w:rPr>
            </w:pPr>
            <w:bookmarkStart w:id="4" w:name="сб51_2"/>
            <w:bookmarkEnd w:id="4"/>
            <w:r>
              <w:rPr>
                <w:b/>
              </w:rPr>
              <w:t>ТАБЛИЦА 51-2. Разработка грунта при подводке, смене или усилении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rPr>
                <w:b/>
              </w:rPr>
              <w:t>Разработка грунта при подводке, смене или усилении фундаментов, 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51-2-1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roofErr w:type="spellStart"/>
            <w:r>
              <w:t>I-II</w:t>
            </w:r>
            <w:proofErr w:type="spellEnd"/>
            <w:r>
              <w:t xml:space="preserve"> группы с креплением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4984,49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3443,96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1539,78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433,40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51-2-2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roofErr w:type="spellStart"/>
            <w:r>
              <w:t>III-IV</w:t>
            </w:r>
            <w:proofErr w:type="spellEnd"/>
            <w:r>
              <w:t xml:space="preserve"> группы с креплением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6834,68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5294,15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1539,78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660,20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51-2-3</w:t>
            </w:r>
          </w:p>
        </w:tc>
        <w:tc>
          <w:tcPr>
            <w:tcW w:w="149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roofErr w:type="spellStart"/>
            <w:r>
              <w:t>I-II</w:t>
            </w:r>
            <w:proofErr w:type="spellEnd"/>
            <w:r>
              <w:t xml:space="preserve"> группы без крепления</w:t>
            </w:r>
          </w:p>
        </w:tc>
        <w:tc>
          <w:tcPr>
            <w:tcW w:w="90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2754,17</w:t>
            </w:r>
          </w:p>
        </w:tc>
        <w:tc>
          <w:tcPr>
            <w:tcW w:w="106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2753,42</w:t>
            </w:r>
          </w:p>
        </w:tc>
        <w:tc>
          <w:tcPr>
            <w:tcW w:w="77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0,11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346,50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51-2-4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roofErr w:type="spellStart"/>
            <w:r>
              <w:t>III-IV</w:t>
            </w:r>
            <w:proofErr w:type="spellEnd"/>
            <w:r>
              <w:t xml:space="preserve"> </w:t>
            </w:r>
            <w:r>
              <w:t>группы без крепления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4208,32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4207,57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0,11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524,70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both"/>
              <w:rPr>
                <w:b/>
              </w:rPr>
            </w:pPr>
            <w:bookmarkStart w:id="5" w:name="сб51_3"/>
            <w:bookmarkEnd w:id="5"/>
            <w:r>
              <w:rPr>
                <w:b/>
              </w:rPr>
              <w:t>ТАБЛИЦА 51-3. Изменение уровня пола в здании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rPr>
                <w:b/>
              </w:rPr>
              <w:t>Изменение уровня пола в здании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51-3-1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подсыпкой грунта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3993,69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3697,75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1,51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0,21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294,43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474,00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51-3-2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r>
              <w:t>выемкой грунта с погрузкой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4968,90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4828,91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1,51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0,21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138,48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619,00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both"/>
              <w:rPr>
                <w:b/>
              </w:rPr>
            </w:pPr>
            <w:bookmarkStart w:id="6" w:name="сб51_4"/>
            <w:bookmarkEnd w:id="6"/>
            <w:r>
              <w:rPr>
                <w:b/>
              </w:rPr>
              <w:t>ТАБЛИЦА 51-4. Рытье ям для установки стоек и столбов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rPr>
                <w:b/>
              </w:rPr>
              <w:t>Рытье ям для установки стоек и столбов глубиной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51-4-1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0,4 м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2047,18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2047,18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260,00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51-4-2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r>
              <w:t>0,7 м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4369,15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4369,15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554,9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both"/>
              <w:rPr>
                <w:b/>
              </w:rPr>
            </w:pPr>
            <w:bookmarkStart w:id="7" w:name="сб51_5"/>
            <w:bookmarkEnd w:id="7"/>
            <w:r>
              <w:rPr>
                <w:b/>
              </w:rPr>
              <w:t>ТАБЛИЦА 51-5. Механизированная разработка грунта в стесненных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rPr>
                <w:b/>
              </w:rPr>
              <w:t>Механизированная разработка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51-5-1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r>
              <w:t>экскаваторами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2767,65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1374,73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1392,92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187,48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51-5-2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r>
              <w:t>бульдозерами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1425,92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1314,92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111,00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23,49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167,00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both"/>
              <w:rPr>
                <w:b/>
              </w:rPr>
            </w:pPr>
            <w:bookmarkStart w:id="8" w:name="сб51_6"/>
            <w:bookmarkEnd w:id="8"/>
            <w:r>
              <w:rPr>
                <w:b/>
              </w:rPr>
              <w:t>ТАБЛИЦА 51-6. Погрузка грунта вручную в автомобили-самосвалы с выгрузкой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607C5">
            <w:pPr>
              <w:jc w:val="center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607C5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51-6-1</w:t>
            </w:r>
          </w:p>
        </w:tc>
        <w:tc>
          <w:tcPr>
            <w:tcW w:w="14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r>
              <w:t>Погрузка грунта вручную в автомобили-самосвалы с выгрузкой</w:t>
            </w:r>
          </w:p>
        </w:tc>
        <w:tc>
          <w:tcPr>
            <w:tcW w:w="9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4302,92</w:t>
            </w:r>
          </w:p>
        </w:tc>
        <w:tc>
          <w:tcPr>
            <w:tcW w:w="106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606,92</w:t>
            </w:r>
          </w:p>
        </w:tc>
        <w:tc>
          <w:tcPr>
            <w:tcW w:w="7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3696,00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444,36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607C5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7C5">
            <w:pPr>
              <w:jc w:val="center"/>
            </w:pPr>
            <w:r>
              <w:t>83,00</w:t>
            </w:r>
          </w:p>
        </w:tc>
      </w:tr>
    </w:tbl>
    <w:p w:rsidR="00000000" w:rsidRDefault="006607C5">
      <w:pPr>
        <w:ind w:firstLine="284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07C5">
      <w:r>
        <w:separator/>
      </w:r>
    </w:p>
  </w:endnote>
  <w:endnote w:type="continuationSeparator" w:id="0">
    <w:p w:rsidR="00000000" w:rsidRDefault="0066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07C5">
      <w:r>
        <w:separator/>
      </w:r>
    </w:p>
  </w:footnote>
  <w:footnote w:type="continuationSeparator" w:id="0">
    <w:p w:rsidR="00000000" w:rsidRDefault="0066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7C5"/>
    <w:rsid w:val="006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widowControl w:val="0"/>
      <w:spacing w:before="120" w:after="120"/>
      <w:jc w:val="center"/>
      <w:outlineLvl w:val="6"/>
    </w:pPr>
    <w:rPr>
      <w:b/>
      <w:sz w:val="44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>Пермский ЦНТИ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