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3626"/>
        <w:gridCol w:w="2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bookmarkStart w:id="0" w:name="_GoBack"/>
            <w:bookmarkEnd w:id="0"/>
            <w:r>
              <w:rPr>
                <w:b w:val="0"/>
                <w:sz w:val="20"/>
              </w:rPr>
              <w:t>Министерство автомобильных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Ведомственные строительные нормы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ВСН 41-88</w:t>
            </w:r>
          </w:p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Минавтодора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дорог РСФСР</w:t>
            </w:r>
          </w:p>
          <w:p w:rsidR="00000000" w:rsidRDefault="009036C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Региональные и отраслевые нормы межремонтных сроков службы нежестких дорожных одежд и покрытий</w:t>
            </w:r>
          </w:p>
          <w:p w:rsidR="00000000" w:rsidRDefault="009036C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РСФСР</w:t>
            </w:r>
          </w:p>
          <w:p w:rsidR="00000000" w:rsidRDefault="009036C5">
            <w:pPr>
              <w:jc w:val="center"/>
              <w:rPr>
                <w:b w:val="0"/>
                <w:sz w:val="20"/>
              </w:rPr>
            </w:pPr>
          </w:p>
        </w:tc>
      </w:tr>
    </w:tbl>
    <w:p w:rsidR="00000000" w:rsidRDefault="009036C5">
      <w:pPr>
        <w:ind w:firstLine="284"/>
        <w:jc w:val="both"/>
        <w:rPr>
          <w:b w:val="0"/>
          <w:sz w:val="20"/>
        </w:rPr>
      </w:pP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УДК 625.76:625.8</w:t>
      </w:r>
    </w:p>
    <w:p w:rsidR="00000000" w:rsidRDefault="009036C5">
      <w:pPr>
        <w:ind w:firstLine="284"/>
        <w:jc w:val="both"/>
        <w:rPr>
          <w:b w:val="0"/>
          <w:sz w:val="20"/>
        </w:rPr>
      </w:pPr>
    </w:p>
    <w:p w:rsidR="00000000" w:rsidRDefault="009036C5">
      <w:pPr>
        <w:ind w:firstLine="284"/>
        <w:jc w:val="both"/>
        <w:rPr>
          <w:b w:val="0"/>
          <w:sz w:val="20"/>
        </w:rPr>
      </w:pP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Нормы межремонтных сроков службы неж</w:t>
      </w:r>
      <w:r>
        <w:rPr>
          <w:b w:val="0"/>
          <w:sz w:val="20"/>
        </w:rPr>
        <w:t>естких дорожных одежд разработаны в соответствии с направлением 02 Программы по решению научно-технической проблемы 0.55.11</w:t>
      </w:r>
      <w:r>
        <w:rPr>
          <w:b w:val="0"/>
          <w:sz w:val="20"/>
          <w:lang w:val="en-US"/>
        </w:rPr>
        <w:t>-P</w:t>
      </w:r>
      <w:r>
        <w:rPr>
          <w:b w:val="0"/>
          <w:sz w:val="20"/>
        </w:rPr>
        <w:t xml:space="preserve"> "... Разработать, усовершенствовать и внедрить прогрессивные технические решения и технологии ремонта и содержания автомобильных дорог и искусственных сооружений на</w:t>
      </w:r>
      <w:r>
        <w:rPr>
          <w:b w:val="0"/>
          <w:sz w:val="20"/>
          <w:lang w:val="en-US"/>
        </w:rPr>
        <w:t xml:space="preserve"> </w:t>
      </w:r>
      <w:r>
        <w:rPr>
          <w:b w:val="0"/>
          <w:sz w:val="20"/>
        </w:rPr>
        <w:t>1</w:t>
      </w:r>
      <w:r>
        <w:rPr>
          <w:b w:val="0"/>
          <w:sz w:val="20"/>
          <w:lang w:val="en-US"/>
        </w:rPr>
        <w:t>996-</w:t>
      </w:r>
      <w:r>
        <w:rPr>
          <w:b w:val="0"/>
          <w:sz w:val="20"/>
        </w:rPr>
        <w:t>1</w:t>
      </w:r>
      <w:r>
        <w:rPr>
          <w:b w:val="0"/>
          <w:sz w:val="20"/>
          <w:lang w:val="en-US"/>
        </w:rPr>
        <w:t>900</w:t>
      </w:r>
      <w:r>
        <w:rPr>
          <w:b w:val="0"/>
          <w:sz w:val="20"/>
        </w:rPr>
        <w:t xml:space="preserve"> гг.".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Документ предназначен для специалистов дорожных организаций, занимающихся проектированием и эксплуатацией автомобильных дорог.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В разработке норм приняли участие Гипродорнии Минавтодора РСФСР, Ленинградский</w:t>
      </w:r>
      <w:r>
        <w:rPr>
          <w:b w:val="0"/>
          <w:sz w:val="20"/>
        </w:rPr>
        <w:t xml:space="preserve"> филиал Союздорнии, МАДИ, Ростовский, Свердловский, Саратовский и Хабаровский филиалы Гипродорнии, СибАДИ, ВЦ Минавтодора РСФСР, Аздорпроект и НИЛ Минстройавтодора АзССР, НПО «Дорстройтехника» Миндорстроя БССР, Грузгосоргдорнии, Казахский филиал Союздорнии, КиргизавтодорКТИ, Вильнюсский ИСИ и трест Оргтехдорстрой Минавтошосдора Литовской ССР, трест Оргдорстрой Минавтодора Молдавской ССР, Среднеазиатский филиал Союздорнии, КАДИ, Госдорнии и</w:t>
      </w:r>
      <w:r>
        <w:rPr>
          <w:b w:val="0"/>
          <w:smallCaps/>
          <w:sz w:val="20"/>
        </w:rPr>
        <w:t xml:space="preserve"> </w:t>
      </w:r>
      <w:r>
        <w:rPr>
          <w:b w:val="0"/>
          <w:sz w:val="20"/>
        </w:rPr>
        <w:t>ХАДИ. Список участников приведен в приложении 2.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При подготовке доку</w:t>
      </w:r>
      <w:r>
        <w:rPr>
          <w:b w:val="0"/>
          <w:sz w:val="20"/>
        </w:rPr>
        <w:t>мента учтены замечания и предложения от дорожных министерств союзных республик.</w:t>
      </w:r>
    </w:p>
    <w:p w:rsidR="00000000" w:rsidRDefault="009036C5">
      <w:pPr>
        <w:ind w:firstLine="284"/>
        <w:jc w:val="both"/>
        <w:rPr>
          <w:b w:val="0"/>
          <w:sz w:val="20"/>
        </w:rPr>
      </w:pPr>
    </w:p>
    <w:p w:rsidR="00000000" w:rsidRDefault="009036C5">
      <w:pPr>
        <w:ind w:firstLine="284"/>
        <w:jc w:val="both"/>
        <w:rPr>
          <w:b w:val="0"/>
          <w:sz w:val="20"/>
        </w:rPr>
      </w:pP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1. Настоящие нормы предназначены для разработки норм перспективного планирования объемов финансирования на ремонт автомобильных дорог общего пользования, уточнения норм расхода материалов и денежных затрат на ремонт дорог, а также для использования при расчете прочности проектируемых дорожных одежд и слоев усиления конструкций, находящихся в эксплуатации.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2. Срок службы дорожной одежды - это период времени, в пределах которого</w:t>
      </w:r>
      <w:r>
        <w:rPr>
          <w:b w:val="0"/>
          <w:sz w:val="20"/>
        </w:rPr>
        <w:t xml:space="preserve"> происходит снижение несущей способности дорожной конструкции до уровня, предельно допускаемого по условиям движения.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Ремонт дорожной одежды осуществляют при достижении в процессе эксплуатации расчетного уровня надежности дорожной одежды и соответствующего ему предельного состояния покрытия по ровности.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Под надежностью дорожной одежды понимают (в соответствии с Инструкцией по проектированию дорожных одежд нежесткого типа ВСН 46-83 Минтрансстроя СССР) вероятность безотказной работы конструкции в течение всег</w:t>
      </w:r>
      <w:r>
        <w:rPr>
          <w:b w:val="0"/>
          <w:sz w:val="20"/>
        </w:rPr>
        <w:t>о периода эксплуатации до ремонта. Количественно уровень надежности представляет отношение протяженности прочных (неповрежденных) участков к общей протяженности дорожной одежды с соответствующим значением коэффициента прочности.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3. Нормативные межремонтные сроки службы дорожной одежды и соответствующие им нормы уровней надежности принимают по табл. 1.</w:t>
      </w:r>
    </w:p>
    <w:p w:rsidR="00000000" w:rsidRDefault="009036C5">
      <w:pPr>
        <w:ind w:firstLine="284"/>
        <w:jc w:val="both"/>
        <w:rPr>
          <w:b w:val="0"/>
          <w:sz w:val="20"/>
        </w:rPr>
      </w:pPr>
    </w:p>
    <w:p w:rsidR="00000000" w:rsidRDefault="009036C5">
      <w:pPr>
        <w:ind w:firstLine="284"/>
        <w:jc w:val="both"/>
        <w:rPr>
          <w:b w:val="0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507"/>
        <w:gridCol w:w="2272"/>
        <w:gridCol w:w="189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6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Внесены Государственным дорожным проектно-изыскательским и научно-исследовательским институтом (Гипродорнии) Минавтодора РСФСР</w:t>
            </w:r>
          </w:p>
          <w:p w:rsidR="00000000" w:rsidRDefault="009036C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Согласованы Госстроем РСФСР</w:t>
            </w:r>
          </w:p>
          <w:p w:rsidR="00000000" w:rsidRDefault="009036C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Утверждены Минавтодором</w:t>
            </w:r>
          </w:p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РСФСР </w:t>
            </w:r>
          </w:p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03 июня 1968 г.</w:t>
            </w:r>
          </w:p>
          <w:p w:rsidR="00000000" w:rsidRDefault="009036C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Срок введения в действия с </w:t>
            </w:r>
          </w:p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01.09.88</w:t>
            </w:r>
          </w:p>
          <w:p w:rsidR="00000000" w:rsidRDefault="009036C5">
            <w:pPr>
              <w:jc w:val="center"/>
              <w:rPr>
                <w:b w:val="0"/>
                <w:sz w:val="20"/>
              </w:rPr>
            </w:pPr>
          </w:p>
        </w:tc>
      </w:tr>
    </w:tbl>
    <w:p w:rsidR="00000000" w:rsidRDefault="009036C5">
      <w:pPr>
        <w:ind w:firstLine="284"/>
        <w:jc w:val="both"/>
        <w:rPr>
          <w:b w:val="0"/>
          <w:sz w:val="20"/>
        </w:rPr>
      </w:pPr>
    </w:p>
    <w:p w:rsidR="00000000" w:rsidRDefault="009036C5">
      <w:pPr>
        <w:ind w:firstLine="284"/>
        <w:jc w:val="right"/>
        <w:rPr>
          <w:b w:val="0"/>
          <w:sz w:val="20"/>
        </w:rPr>
      </w:pPr>
      <w:r>
        <w:rPr>
          <w:b w:val="0"/>
          <w:sz w:val="20"/>
        </w:rPr>
        <w:t>Таблица 1</w:t>
      </w:r>
    </w:p>
    <w:p w:rsidR="00000000" w:rsidRDefault="009036C5">
      <w:pPr>
        <w:ind w:firstLine="284"/>
        <w:jc w:val="both"/>
        <w:rPr>
          <w:b w:val="0"/>
          <w:sz w:val="20"/>
        </w:rPr>
      </w:pPr>
    </w:p>
    <w:p w:rsidR="00000000" w:rsidRDefault="009036C5">
      <w:pPr>
        <w:ind w:firstLine="284"/>
        <w:jc w:val="center"/>
        <w:rPr>
          <w:sz w:val="20"/>
          <w:lang w:val="en-US"/>
        </w:rPr>
      </w:pPr>
      <w:r>
        <w:rPr>
          <w:sz w:val="20"/>
        </w:rPr>
        <w:lastRenderedPageBreak/>
        <w:t>Нормы межремонтных (расчетных) сроков службы (Т</w:t>
      </w:r>
      <w:r>
        <w:rPr>
          <w:sz w:val="20"/>
          <w:vertAlign w:val="subscript"/>
        </w:rPr>
        <w:t>о</w:t>
      </w:r>
      <w:r>
        <w:rPr>
          <w:sz w:val="20"/>
        </w:rPr>
        <w:t xml:space="preserve">) </w:t>
      </w:r>
    </w:p>
    <w:p w:rsidR="00000000" w:rsidRDefault="009036C5">
      <w:pPr>
        <w:ind w:firstLine="284"/>
        <w:jc w:val="center"/>
        <w:rPr>
          <w:sz w:val="20"/>
        </w:rPr>
      </w:pPr>
      <w:r>
        <w:rPr>
          <w:sz w:val="20"/>
        </w:rPr>
        <w:t>и нормы уровней надежности</w:t>
      </w:r>
      <w:r>
        <w:rPr>
          <w:sz w:val="20"/>
          <w:lang w:val="en-US"/>
        </w:rPr>
        <w:t xml:space="preserve"> (</w:t>
      </w:r>
      <w:r>
        <w:rPr>
          <w:sz w:val="20"/>
        </w:rPr>
        <w:t>К</w:t>
      </w:r>
      <w:r>
        <w:rPr>
          <w:sz w:val="20"/>
          <w:vertAlign w:val="subscript"/>
          <w:lang w:val="en-US"/>
        </w:rPr>
        <w:t>H</w:t>
      </w:r>
      <w:r>
        <w:rPr>
          <w:sz w:val="20"/>
          <w:lang w:val="en-US"/>
        </w:rPr>
        <w:t xml:space="preserve">) </w:t>
      </w:r>
      <w:r>
        <w:rPr>
          <w:sz w:val="20"/>
        </w:rPr>
        <w:t>нежестких дорожных одежд</w:t>
      </w:r>
    </w:p>
    <w:p w:rsidR="00000000" w:rsidRDefault="009036C5">
      <w:pPr>
        <w:ind w:firstLine="284"/>
        <w:jc w:val="both"/>
        <w:rPr>
          <w:b w:val="0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396"/>
        <w:gridCol w:w="1013"/>
        <w:gridCol w:w="806"/>
        <w:gridCol w:w="895"/>
        <w:gridCol w:w="874"/>
        <w:gridCol w:w="967"/>
        <w:gridCol w:w="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Кате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Интенсив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Тип </w:t>
            </w:r>
          </w:p>
        </w:tc>
        <w:tc>
          <w:tcPr>
            <w:tcW w:w="53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Дорожно-климатическая зона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гория доро</w:t>
            </w:r>
            <w:r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</w:rPr>
              <w:t>ги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ность</w:t>
            </w:r>
            <w:r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 xml:space="preserve">движение транспортного потока, 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дорожной одежды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I-II</w:t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III</w:t>
            </w:r>
          </w:p>
        </w:tc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IV</w:t>
            </w:r>
            <w:r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авт/сут.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</w:t>
            </w:r>
            <w:r>
              <w:rPr>
                <w:b w:val="0"/>
                <w:sz w:val="20"/>
                <w:vertAlign w:val="subscript"/>
                <w:lang w:val="en-US"/>
              </w:rPr>
              <w:t>H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</w:t>
            </w:r>
            <w:r>
              <w:rPr>
                <w:b w:val="0"/>
                <w:sz w:val="20"/>
                <w:vertAlign w:val="subscript"/>
              </w:rPr>
              <w:t>о</w:t>
            </w:r>
            <w:r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</w:t>
            </w:r>
            <w:r>
              <w:rPr>
                <w:b w:val="0"/>
                <w:sz w:val="20"/>
                <w:vertAlign w:val="subscript"/>
                <w:lang w:val="en-US"/>
              </w:rPr>
              <w:t>H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</w:t>
            </w:r>
            <w:r>
              <w:rPr>
                <w:b w:val="0"/>
                <w:sz w:val="20"/>
                <w:vertAlign w:val="subscript"/>
              </w:rPr>
              <w:t>о</w:t>
            </w:r>
            <w:r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годы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</w:t>
            </w:r>
            <w:r>
              <w:rPr>
                <w:b w:val="0"/>
                <w:sz w:val="20"/>
                <w:vertAlign w:val="subscript"/>
                <w:lang w:val="en-US"/>
              </w:rPr>
              <w:t>H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</w:t>
            </w:r>
            <w:r>
              <w:rPr>
                <w:b w:val="0"/>
                <w:sz w:val="20"/>
                <w:vertAlign w:val="subscript"/>
              </w:rPr>
              <w:t>о</w:t>
            </w:r>
            <w:r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sym w:font="Symbol" w:char="F03E"/>
            </w:r>
            <w:r>
              <w:rPr>
                <w:b w:val="0"/>
                <w:sz w:val="20"/>
              </w:rPr>
              <w:t xml:space="preserve"> 7000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капитальный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0</w:t>
            </w:r>
            <w:r>
              <w:rPr>
                <w:b w:val="0"/>
                <w:sz w:val="20"/>
              </w:rPr>
              <w:t>,95-0,90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  <w:r>
              <w:rPr>
                <w:b w:val="0"/>
                <w:sz w:val="20"/>
                <w:lang w:val="en-US"/>
              </w:rPr>
              <w:t>-1</w:t>
            </w:r>
            <w:r>
              <w:rPr>
                <w:b w:val="0"/>
                <w:sz w:val="20"/>
              </w:rPr>
              <w:t>8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0,93-0,88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15-19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0,90-0,86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II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3000-7000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капитальный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0,94-0,89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11</w:t>
            </w:r>
            <w:r>
              <w:rPr>
                <w:b w:val="0"/>
                <w:sz w:val="20"/>
              </w:rPr>
              <w:t>-15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0,92-0,87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12-1</w:t>
            </w:r>
            <w:r>
              <w:rPr>
                <w:b w:val="0"/>
                <w:sz w:val="20"/>
                <w:lang w:val="en-US"/>
              </w:rPr>
              <w:t>6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0,89-0,85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III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1000-</w:t>
            </w:r>
            <w:r>
              <w:rPr>
                <w:b w:val="0"/>
                <w:sz w:val="20"/>
                <w:lang w:val="en-US"/>
              </w:rPr>
              <w:t>3</w:t>
            </w:r>
            <w:r>
              <w:rPr>
                <w:b w:val="0"/>
                <w:sz w:val="20"/>
              </w:rPr>
              <w:t>000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капитальный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0,92-0,87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11-15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0,90-0,85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12-16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0,87-0,83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облегченный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</w:t>
            </w:r>
            <w:r>
              <w:rPr>
                <w:b w:val="0"/>
                <w:sz w:val="20"/>
                <w:lang w:val="en-US"/>
              </w:rPr>
              <w:t>8</w:t>
            </w:r>
            <w:r>
              <w:rPr>
                <w:b w:val="0"/>
                <w:sz w:val="20"/>
              </w:rPr>
              <w:t>8-0,84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10-13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0,86-0,82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11-14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0,84-0,80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IV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500-1000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капитальный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0,85-0,82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11-15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0,83-0,80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12-16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0,80-0,78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облегченный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0,87-0,83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8-10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0,85-0,81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9-11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</w:t>
            </w:r>
            <w:r>
              <w:rPr>
                <w:b w:val="0"/>
                <w:sz w:val="20"/>
                <w:lang w:val="en-US"/>
              </w:rPr>
              <w:t>8</w:t>
            </w:r>
            <w:r>
              <w:rPr>
                <w:b w:val="0"/>
                <w:sz w:val="20"/>
              </w:rPr>
              <w:t>2-0,80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10-12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100-500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переходный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0,82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3-8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0,80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3-9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0,77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 100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облегченный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0,83-</w:t>
            </w:r>
            <w:r>
              <w:rPr>
                <w:b w:val="0"/>
                <w:sz w:val="20"/>
                <w:lang w:val="en-US"/>
              </w:rPr>
              <w:t>0</w:t>
            </w:r>
            <w:r>
              <w:rPr>
                <w:b w:val="0"/>
                <w:sz w:val="20"/>
              </w:rPr>
              <w:t>,80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8-10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0,80-0,78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9-11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0,78-0,75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10-12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переходный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0,65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3-</w:t>
            </w:r>
            <w:r>
              <w:rPr>
                <w:b w:val="0"/>
                <w:sz w:val="20"/>
                <w:lang w:val="en-US"/>
              </w:rPr>
              <w:t>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0,60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3-9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0,58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</w:p>
        </w:tc>
        <w:tc>
          <w:tcPr>
            <w:tcW w:w="13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низший</w:t>
            </w:r>
          </w:p>
        </w:tc>
        <w:tc>
          <w:tcPr>
            <w:tcW w:w="1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0,65</w:t>
            </w: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2-4</w:t>
            </w:r>
          </w:p>
        </w:tc>
        <w:tc>
          <w:tcPr>
            <w:tcW w:w="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0,60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2-4</w:t>
            </w: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0,58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2-4</w:t>
            </w:r>
          </w:p>
        </w:tc>
      </w:tr>
    </w:tbl>
    <w:p w:rsidR="00000000" w:rsidRDefault="009036C5">
      <w:pPr>
        <w:ind w:firstLine="284"/>
        <w:jc w:val="both"/>
        <w:rPr>
          <w:b w:val="0"/>
          <w:sz w:val="20"/>
        </w:rPr>
      </w:pPr>
    </w:p>
    <w:p w:rsidR="00000000" w:rsidRDefault="009036C5">
      <w:pPr>
        <w:ind w:firstLine="284"/>
        <w:jc w:val="both"/>
        <w:rPr>
          <w:b w:val="0"/>
          <w:lang w:val="en-US"/>
        </w:rPr>
      </w:pPr>
      <w:r>
        <w:rPr>
          <w:b w:val="0"/>
        </w:rPr>
        <w:t xml:space="preserve">Примечания. </w:t>
      </w:r>
    </w:p>
    <w:p w:rsidR="00000000" w:rsidRDefault="009036C5">
      <w:pPr>
        <w:ind w:firstLine="284"/>
        <w:jc w:val="both"/>
        <w:rPr>
          <w:b w:val="0"/>
        </w:rPr>
      </w:pPr>
      <w:r>
        <w:rPr>
          <w:b w:val="0"/>
          <w:lang w:val="en-US"/>
        </w:rPr>
        <w:t>1</w:t>
      </w:r>
      <w:r>
        <w:rPr>
          <w:b w:val="0"/>
        </w:rPr>
        <w:t>. Промежуточ</w:t>
      </w:r>
      <w:r>
        <w:rPr>
          <w:b w:val="0"/>
        </w:rPr>
        <w:t>ные значения принимаются по интерполяции (для К</w:t>
      </w:r>
      <w:r>
        <w:rPr>
          <w:b w:val="0"/>
          <w:vertAlign w:val="subscript"/>
          <w:lang w:val="en-US"/>
        </w:rPr>
        <w:t>H</w:t>
      </w:r>
      <w:r>
        <w:rPr>
          <w:b w:val="0"/>
        </w:rPr>
        <w:t xml:space="preserve"> и Т</w:t>
      </w:r>
      <w:r>
        <w:rPr>
          <w:b w:val="0"/>
          <w:vertAlign w:val="subscript"/>
        </w:rPr>
        <w:t>о</w:t>
      </w:r>
      <w:r>
        <w:rPr>
          <w:b w:val="0"/>
        </w:rPr>
        <w:t>).</w:t>
      </w:r>
    </w:p>
    <w:p w:rsidR="00000000" w:rsidRDefault="009036C5">
      <w:pPr>
        <w:ind w:firstLine="284"/>
        <w:jc w:val="both"/>
        <w:rPr>
          <w:b w:val="0"/>
        </w:rPr>
      </w:pPr>
      <w:r>
        <w:rPr>
          <w:b w:val="0"/>
        </w:rPr>
        <w:t xml:space="preserve">2. При расчете слоев усиления капитальных и облегченных дорожных одежд допускается уменьшение на 15 </w:t>
      </w:r>
      <w:r>
        <w:rPr>
          <w:b w:val="0"/>
          <w:i/>
        </w:rPr>
        <w:t>%</w:t>
      </w:r>
      <w:r>
        <w:rPr>
          <w:b w:val="0"/>
        </w:rPr>
        <w:t xml:space="preserve"> нормы срока службы от минимальных значений при сохранении нормы уровня надежности.</w:t>
      </w:r>
    </w:p>
    <w:p w:rsidR="00000000" w:rsidRDefault="009036C5">
      <w:pPr>
        <w:ind w:firstLine="284"/>
        <w:jc w:val="both"/>
        <w:rPr>
          <w:b w:val="0"/>
          <w:lang w:val="en-US"/>
        </w:rPr>
      </w:pPr>
      <w:r>
        <w:rPr>
          <w:b w:val="0"/>
        </w:rPr>
        <w:t>3. При проектировании автомобильных дорог для расчета дорожных одежд рекомендуется использовать нормы наибольших сроков службы из указанного диапазона для каждого типа дорожной одежды.</w:t>
      </w:r>
    </w:p>
    <w:p w:rsidR="00000000" w:rsidRDefault="009036C5">
      <w:pPr>
        <w:ind w:firstLine="284"/>
        <w:jc w:val="both"/>
        <w:rPr>
          <w:b w:val="0"/>
          <w:sz w:val="20"/>
        </w:rPr>
      </w:pP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  <w:lang w:val="en-US"/>
        </w:rPr>
        <w:t>3.1</w:t>
      </w:r>
      <w:r>
        <w:rPr>
          <w:b w:val="0"/>
          <w:sz w:val="20"/>
        </w:rPr>
        <w:t>. Для существующих дорог: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  <w:lang w:val="en-US"/>
        </w:rPr>
        <w:t>III</w:t>
      </w:r>
      <w:r>
        <w:rPr>
          <w:b w:val="0"/>
          <w:sz w:val="20"/>
        </w:rPr>
        <w:t xml:space="preserve"> категории с переходными одеждами межремонтные сроки </w:t>
      </w:r>
      <w:r>
        <w:rPr>
          <w:b w:val="0"/>
          <w:sz w:val="20"/>
        </w:rPr>
        <w:t xml:space="preserve">службы и уровни надежности принимают такими же, как и для дорог </w:t>
      </w:r>
      <w:r>
        <w:rPr>
          <w:b w:val="0"/>
          <w:sz w:val="20"/>
          <w:lang w:val="en-US"/>
        </w:rPr>
        <w:t>IV</w:t>
      </w:r>
      <w:r>
        <w:rPr>
          <w:b w:val="0"/>
          <w:i/>
          <w:sz w:val="20"/>
        </w:rPr>
        <w:t xml:space="preserve"> </w:t>
      </w:r>
      <w:r>
        <w:rPr>
          <w:b w:val="0"/>
          <w:sz w:val="20"/>
        </w:rPr>
        <w:t>категории;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  <w:lang w:val="en-US"/>
        </w:rPr>
        <w:t>V</w:t>
      </w:r>
      <w:r>
        <w:rPr>
          <w:b w:val="0"/>
          <w:sz w:val="20"/>
        </w:rPr>
        <w:t xml:space="preserve"> категории с одеждами капитального типа норму межремонтного срока службы следует увеличить на 20 %, а норму уровня надежности  понизить на 30 % по сравнению с нормами, установленными для дорог </w:t>
      </w:r>
      <w:r>
        <w:rPr>
          <w:b w:val="0"/>
          <w:sz w:val="20"/>
          <w:lang w:val="en-US"/>
        </w:rPr>
        <w:t>III</w:t>
      </w:r>
      <w:r>
        <w:rPr>
          <w:b w:val="0"/>
          <w:sz w:val="20"/>
        </w:rPr>
        <w:t xml:space="preserve"> категории </w:t>
      </w:r>
      <w:r>
        <w:rPr>
          <w:b w:val="0"/>
          <w:sz w:val="20"/>
          <w:lang w:val="en-US"/>
        </w:rPr>
        <w:t>c</w:t>
      </w:r>
      <w:r>
        <w:rPr>
          <w:b w:val="0"/>
          <w:sz w:val="20"/>
        </w:rPr>
        <w:t xml:space="preserve"> аналогичным покрытием;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  <w:lang w:val="en-US"/>
        </w:rPr>
        <w:t>IV</w:t>
      </w:r>
      <w:r>
        <w:rPr>
          <w:b w:val="0"/>
          <w:sz w:val="20"/>
        </w:rPr>
        <w:t xml:space="preserve"> категории с одеждами облегченного типа при интенсивности движения 100-500 авт/сут. нормируемые показатели принимают такими же, как и для дорог </w:t>
      </w:r>
      <w:r>
        <w:rPr>
          <w:b w:val="0"/>
          <w:sz w:val="20"/>
          <w:lang w:val="en-US"/>
        </w:rPr>
        <w:t>V</w:t>
      </w:r>
      <w:r>
        <w:rPr>
          <w:b w:val="0"/>
          <w:sz w:val="20"/>
        </w:rPr>
        <w:t xml:space="preserve"> категории.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Если же фактическая интенсивность движения</w:t>
      </w:r>
      <w:r>
        <w:rPr>
          <w:b w:val="0"/>
          <w:sz w:val="20"/>
        </w:rPr>
        <w:t xml:space="preserve"> транспортного потока на дороге превышает расчетную, установленную для рассматриваемой категории дорог, норму межремонтного срока службы дорожной одежды уменьшают на 20 % при сохранении нормы уровня надежности. При интенсивности движения меньше нормативной понижают норму уровня надежности до 15 % при сохранении нормы срока службы.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3.2. При планировании и производстве ремонтных работ методом термопрофилирования норму уровня надежности дорожной одежды понижают на 10 %.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3.3. В региональных условиях РСФСР допус</w:t>
      </w:r>
      <w:r>
        <w:rPr>
          <w:b w:val="0"/>
          <w:sz w:val="20"/>
        </w:rPr>
        <w:t>кается понижать норму уровня надежности дорожных одежд против значений, приведенных в табл. 1, на: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2% - в Уральском (Пермская, Свердловская области), Восточно-Сибирском (Амурская, Иркутская, Читинская обл., Бурятская АССР, Якутская АССР) и Западно-Сибирском районах (Томская и Тюменская обл., Красноярский край, север Омской обл.);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5% - в Дальневосточном районе (Приморский и Хабаровский края, Сахалинская, Камчатская, Магаданская области).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3.4. При решении практических задач, связанных с оценкой фактических ср</w:t>
      </w:r>
      <w:r>
        <w:rPr>
          <w:b w:val="0"/>
          <w:sz w:val="20"/>
        </w:rPr>
        <w:t>оков службы нежестких дорожных одежд и транспортно-эксплуатационных качеств автомобильных дорог, руководствуются предельно допускаемыми эксплуатационными состояниями покрытия по ровности "</w:t>
      </w:r>
      <w:r>
        <w:rPr>
          <w:b w:val="0"/>
          <w:i/>
          <w:sz w:val="20"/>
        </w:rPr>
        <w:sym w:font="Symbol" w:char="F064"/>
      </w:r>
      <w:r>
        <w:rPr>
          <w:b w:val="0"/>
          <w:i/>
          <w:sz w:val="20"/>
          <w:vertAlign w:val="subscript"/>
          <w:lang w:val="en-US"/>
        </w:rPr>
        <w:t>i</w:t>
      </w:r>
      <w:r>
        <w:rPr>
          <w:b w:val="0"/>
          <w:sz w:val="20"/>
        </w:rPr>
        <w:t>" в зависимости от уровня надежности дорожной одежды.</w:t>
      </w:r>
    </w:p>
    <w:p w:rsidR="00000000" w:rsidRDefault="009036C5">
      <w:pPr>
        <w:ind w:firstLine="284"/>
        <w:jc w:val="both"/>
        <w:rPr>
          <w:b w:val="0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851"/>
        <w:gridCol w:w="850"/>
        <w:gridCol w:w="851"/>
        <w:gridCol w:w="790"/>
        <w:gridCol w:w="800"/>
        <w:gridCol w:w="819"/>
        <w:gridCol w:w="780"/>
        <w:gridCol w:w="7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  <w:vertAlign w:val="subscript"/>
              </w:rPr>
            </w:pPr>
            <w:r>
              <w:rPr>
                <w:b w:val="0"/>
                <w:sz w:val="20"/>
              </w:rPr>
              <w:t>К</w:t>
            </w:r>
            <w:r>
              <w:rPr>
                <w:b w:val="0"/>
                <w:sz w:val="20"/>
                <w:vertAlign w:val="subscript"/>
              </w:rPr>
              <w:t>Н</w:t>
            </w:r>
          </w:p>
          <w:p w:rsidR="00000000" w:rsidRDefault="009036C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0,75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0,80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0,85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0,90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i/>
                <w:sz w:val="20"/>
              </w:rPr>
              <w:sym w:font="Symbol" w:char="F064"/>
            </w:r>
            <w:r>
              <w:rPr>
                <w:b w:val="0"/>
                <w:i/>
                <w:sz w:val="20"/>
                <w:vertAlign w:val="subscript"/>
                <w:lang w:val="en-US"/>
              </w:rPr>
              <w:t>i</w:t>
            </w:r>
            <w:r>
              <w:rPr>
                <w:b w:val="0"/>
                <w:sz w:val="20"/>
                <w:vertAlign w:val="superscript"/>
              </w:rPr>
              <w:t xml:space="preserve"> </w:t>
            </w:r>
            <w:r>
              <w:rPr>
                <w:b w:val="0"/>
                <w:sz w:val="20"/>
              </w:rPr>
              <w:t>, см/км</w:t>
            </w:r>
          </w:p>
          <w:p w:rsidR="00000000" w:rsidRDefault="009036C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530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340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80</w:t>
            </w:r>
          </w:p>
        </w:tc>
      </w:tr>
    </w:tbl>
    <w:p w:rsidR="00000000" w:rsidRDefault="009036C5">
      <w:pPr>
        <w:ind w:firstLine="284"/>
        <w:jc w:val="both"/>
        <w:rPr>
          <w:b w:val="0"/>
          <w:sz w:val="20"/>
        </w:rPr>
      </w:pP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Приведенные данные получены по толчкомеру ТХК-2, установленному на автомобиле УАЗ-452. При использовании других марок автомобилей требуется предварительная тарировка пр</w:t>
      </w:r>
      <w:r>
        <w:rPr>
          <w:b w:val="0"/>
          <w:sz w:val="20"/>
        </w:rPr>
        <w:t>ибора.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4. Срок службы дорожного покрытия - это период времени, в пределах которого снижаются сцепные качества покрытий (капитальные и облегченные дорожные одежды) или увеличивается износ поверхности покрытий (переходные и низшие дорожные одежды) до величин, предельно допускаемых по условиям движения.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5. Нормы межремонтных сроков службы дорожных покрытий (Т</w:t>
      </w:r>
      <w:r>
        <w:rPr>
          <w:b w:val="0"/>
          <w:sz w:val="20"/>
          <w:vertAlign w:val="subscript"/>
        </w:rPr>
        <w:t>п</w:t>
      </w:r>
      <w:r>
        <w:rPr>
          <w:b w:val="0"/>
          <w:sz w:val="20"/>
        </w:rPr>
        <w:t>) на дорогах с капитальными и облегченными дорожными одеждами принимают в зависимости от интенсивности движения транспортного потока в первый год после с</w:t>
      </w:r>
      <w:r>
        <w:rPr>
          <w:b w:val="0"/>
          <w:sz w:val="20"/>
        </w:rPr>
        <w:t xml:space="preserve">троительства или работ по устройству шероховатых поверхностей при ремонте дорог (табл. 2). </w:t>
      </w:r>
    </w:p>
    <w:p w:rsidR="00000000" w:rsidRDefault="009036C5">
      <w:pPr>
        <w:ind w:firstLine="284"/>
        <w:jc w:val="both"/>
        <w:rPr>
          <w:b w:val="0"/>
          <w:sz w:val="20"/>
        </w:rPr>
      </w:pPr>
    </w:p>
    <w:p w:rsidR="00000000" w:rsidRDefault="009036C5">
      <w:pPr>
        <w:ind w:firstLine="284"/>
        <w:jc w:val="right"/>
        <w:rPr>
          <w:b w:val="0"/>
          <w:sz w:val="20"/>
        </w:rPr>
      </w:pPr>
      <w:r>
        <w:rPr>
          <w:b w:val="0"/>
          <w:sz w:val="20"/>
        </w:rPr>
        <w:t>Таблица 2</w:t>
      </w:r>
    </w:p>
    <w:p w:rsidR="00000000" w:rsidRDefault="009036C5">
      <w:pPr>
        <w:ind w:firstLine="284"/>
        <w:jc w:val="both"/>
        <w:rPr>
          <w:b w:val="0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Интенсивность движения по наиболее загруженной полосе, авт./сут.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Дорожно-климатические зоны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Нормы межремонтных сроков службы дорожных покрытий (Т</w:t>
            </w:r>
            <w:r>
              <w:rPr>
                <w:b w:val="0"/>
                <w:sz w:val="20"/>
                <w:vertAlign w:val="subscript"/>
              </w:rPr>
              <w:t>п</w:t>
            </w:r>
            <w:r>
              <w:rPr>
                <w:b w:val="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ind w:firstLine="66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 200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ind w:firstLine="952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I</w:t>
            </w:r>
            <w:r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ind w:hanging="4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ind w:firstLine="66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от 200 до 2500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ind w:firstLine="95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I-II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ind w:hanging="40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ind w:firstLine="66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от 200 до 2000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ind w:firstLine="95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III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ind w:hanging="4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ind w:firstLine="66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от 200 до 1500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ind w:firstLine="952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IV</w:t>
            </w:r>
            <w:r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val="en-US"/>
              </w:rPr>
              <w:t>V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ind w:hanging="40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ind w:firstLine="66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от 2500 до 4500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ind w:firstLine="95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I-II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ind w:hanging="40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ind w:firstLine="66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от 2000 до 4000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ind w:firstLine="95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III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ind w:hanging="4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ind w:firstLine="66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от 1500 до 3000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ind w:firstLine="952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IV</w:t>
            </w:r>
            <w:r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val="en-US"/>
              </w:rPr>
              <w:t>V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ind w:hanging="40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ind w:firstLine="669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or</w:t>
            </w:r>
            <w:r>
              <w:rPr>
                <w:b w:val="0"/>
                <w:sz w:val="20"/>
              </w:rPr>
              <w:t xml:space="preserve"> 4500 до 6600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ind w:firstLine="95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I-II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ind w:hanging="40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ind w:firstLine="66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от 4000 до 6000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ind w:firstLine="95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III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ind w:hanging="4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ind w:firstLine="66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от 3000 до 5000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ind w:firstLine="952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IV</w:t>
            </w:r>
            <w:r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val="en-US"/>
              </w:rPr>
              <w:t>V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ind w:hanging="40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ind w:firstLine="66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свыше 6600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ind w:firstLine="95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I-II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ind w:hanging="40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ind w:firstLine="66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6000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ind w:firstLine="95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III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36C5">
            <w:pPr>
              <w:ind w:hanging="4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ind w:firstLine="66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5000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ind w:firstLine="952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IV</w:t>
            </w:r>
            <w:r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val="en-US"/>
              </w:rPr>
              <w:t>V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36C5">
            <w:pPr>
              <w:ind w:hanging="40"/>
              <w:jc w:val="center"/>
              <w:rPr>
                <w:b w:val="0"/>
                <w:sz w:val="20"/>
              </w:rPr>
            </w:pPr>
          </w:p>
        </w:tc>
      </w:tr>
    </w:tbl>
    <w:p w:rsidR="00000000" w:rsidRDefault="009036C5">
      <w:pPr>
        <w:ind w:firstLine="284"/>
        <w:jc w:val="both"/>
        <w:rPr>
          <w:b w:val="0"/>
          <w:sz w:val="20"/>
        </w:rPr>
      </w:pP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  <w:lang w:val="en-US"/>
        </w:rPr>
        <w:t>5.1.</w:t>
      </w:r>
      <w:r>
        <w:rPr>
          <w:b w:val="0"/>
          <w:sz w:val="20"/>
        </w:rPr>
        <w:t xml:space="preserve"> Норму срока службы покрытая допускается понижать на: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 xml:space="preserve">20 </w:t>
      </w:r>
      <w:r>
        <w:rPr>
          <w:b w:val="0"/>
          <w:i/>
          <w:sz w:val="20"/>
        </w:rPr>
        <w:t>%</w:t>
      </w:r>
      <w:r>
        <w:rPr>
          <w:b w:val="0"/>
          <w:sz w:val="20"/>
        </w:rPr>
        <w:t xml:space="preserve"> - при использовании в качестве вяжущего для поверхностных обработок дегтей и смол;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 xml:space="preserve">30 % - при использовании известнякового  щебня. 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5.2. В случаях, когда межремонтные сроки службы дорожной одежды и покрытия отличаются не более чем на 30</w:t>
      </w:r>
      <w:r>
        <w:rPr>
          <w:b w:val="0"/>
          <w:sz w:val="20"/>
          <w:lang w:val="en-US"/>
        </w:rPr>
        <w:t xml:space="preserve"> %</w:t>
      </w:r>
      <w:r>
        <w:rPr>
          <w:b w:val="0"/>
          <w:sz w:val="20"/>
        </w:rPr>
        <w:t xml:space="preserve"> межремонтные сроки службы покрытий принимают равными 50 % от нормы срока службы дорожной одежды.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 xml:space="preserve">6. Возмещение износа покрытий переходных дорожных одежд предусматривают с периодичностью не позже, чем через 3 </w:t>
      </w:r>
      <w:r>
        <w:rPr>
          <w:b w:val="0"/>
          <w:sz w:val="20"/>
        </w:rPr>
        <w:t>года.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 xml:space="preserve">7. Дорожно-климатические зоны (ДКЗ) устанавливают по карте дорожно-климатического районирования СССР (см. ВСН 46-83). </w:t>
      </w:r>
    </w:p>
    <w:p w:rsidR="00000000" w:rsidRDefault="009036C5">
      <w:pPr>
        <w:ind w:firstLine="284"/>
        <w:jc w:val="both"/>
        <w:rPr>
          <w:b w:val="0"/>
          <w:sz w:val="20"/>
        </w:rPr>
      </w:pPr>
    </w:p>
    <w:p w:rsidR="00000000" w:rsidRDefault="009036C5">
      <w:pPr>
        <w:ind w:firstLine="284"/>
        <w:jc w:val="both"/>
        <w:rPr>
          <w:b w:val="0"/>
          <w:sz w:val="20"/>
        </w:rPr>
      </w:pPr>
    </w:p>
    <w:p w:rsidR="00000000" w:rsidRDefault="009036C5">
      <w:pPr>
        <w:ind w:firstLine="284"/>
        <w:jc w:val="right"/>
        <w:rPr>
          <w:b w:val="0"/>
          <w:sz w:val="20"/>
        </w:rPr>
      </w:pPr>
      <w:r>
        <w:rPr>
          <w:b w:val="0"/>
          <w:sz w:val="20"/>
        </w:rPr>
        <w:t xml:space="preserve">Приложение 1 </w:t>
      </w:r>
    </w:p>
    <w:p w:rsidR="00000000" w:rsidRDefault="009036C5">
      <w:pPr>
        <w:ind w:firstLine="284"/>
        <w:jc w:val="right"/>
        <w:rPr>
          <w:b w:val="0"/>
          <w:sz w:val="20"/>
        </w:rPr>
      </w:pPr>
      <w:r>
        <w:rPr>
          <w:b w:val="0"/>
          <w:sz w:val="20"/>
        </w:rPr>
        <w:t xml:space="preserve">(не утверждаемое) </w:t>
      </w:r>
    </w:p>
    <w:p w:rsidR="00000000" w:rsidRDefault="009036C5">
      <w:pPr>
        <w:ind w:firstLine="284"/>
        <w:jc w:val="both"/>
        <w:rPr>
          <w:b w:val="0"/>
          <w:sz w:val="20"/>
        </w:rPr>
      </w:pPr>
    </w:p>
    <w:p w:rsidR="00000000" w:rsidRDefault="009036C5">
      <w:pPr>
        <w:ind w:firstLine="284"/>
        <w:jc w:val="center"/>
        <w:rPr>
          <w:sz w:val="20"/>
          <w:lang w:val="en-US"/>
        </w:rPr>
      </w:pPr>
      <w:r>
        <w:rPr>
          <w:sz w:val="20"/>
        </w:rPr>
        <w:t xml:space="preserve">Особенности применения норм в союзных республиках </w:t>
      </w:r>
    </w:p>
    <w:p w:rsidR="00000000" w:rsidRDefault="009036C5">
      <w:pPr>
        <w:ind w:firstLine="284"/>
        <w:jc w:val="center"/>
        <w:rPr>
          <w:sz w:val="20"/>
        </w:rPr>
      </w:pPr>
      <w:r>
        <w:rPr>
          <w:sz w:val="20"/>
          <w:lang w:val="en-US"/>
        </w:rPr>
        <w:t>I</w:t>
      </w:r>
      <w:r>
        <w:rPr>
          <w:sz w:val="20"/>
        </w:rPr>
        <w:t>. Дорожно-климатические зоны в пределах республик</w:t>
      </w:r>
    </w:p>
    <w:p w:rsidR="00000000" w:rsidRDefault="009036C5">
      <w:pPr>
        <w:ind w:firstLine="284"/>
        <w:jc w:val="both"/>
        <w:rPr>
          <w:b w:val="0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55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119" w:type="dxa"/>
          </w:tcPr>
          <w:p w:rsidR="00000000" w:rsidRDefault="009036C5">
            <w:pPr>
              <w:ind w:firstLine="284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 Азербайджанская ССР</w:t>
            </w:r>
          </w:p>
        </w:tc>
        <w:tc>
          <w:tcPr>
            <w:tcW w:w="1559" w:type="dxa"/>
          </w:tcPr>
          <w:p w:rsidR="00000000" w:rsidRDefault="009036C5">
            <w:pPr>
              <w:ind w:firstLine="284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119" w:type="dxa"/>
          </w:tcPr>
          <w:p w:rsidR="00000000" w:rsidRDefault="009036C5">
            <w:pPr>
              <w:ind w:firstLine="284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 Армянская ССР</w:t>
            </w:r>
          </w:p>
        </w:tc>
        <w:tc>
          <w:tcPr>
            <w:tcW w:w="1559" w:type="dxa"/>
          </w:tcPr>
          <w:p w:rsidR="00000000" w:rsidRDefault="009036C5">
            <w:pPr>
              <w:ind w:firstLine="284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119" w:type="dxa"/>
          </w:tcPr>
          <w:p w:rsidR="00000000" w:rsidRDefault="009036C5">
            <w:pPr>
              <w:ind w:firstLine="284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 Белорусская ССР</w:t>
            </w:r>
          </w:p>
        </w:tc>
        <w:tc>
          <w:tcPr>
            <w:tcW w:w="1559" w:type="dxa"/>
          </w:tcPr>
          <w:p w:rsidR="00000000" w:rsidRDefault="009036C5">
            <w:pPr>
              <w:ind w:firstLine="284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II, 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119" w:type="dxa"/>
          </w:tcPr>
          <w:p w:rsidR="00000000" w:rsidRDefault="009036C5">
            <w:pPr>
              <w:ind w:firstLine="284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 Грузинская ССР</w:t>
            </w:r>
          </w:p>
        </w:tc>
        <w:tc>
          <w:tcPr>
            <w:tcW w:w="1559" w:type="dxa"/>
          </w:tcPr>
          <w:p w:rsidR="00000000" w:rsidRDefault="009036C5">
            <w:pPr>
              <w:ind w:firstLine="284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119" w:type="dxa"/>
          </w:tcPr>
          <w:p w:rsidR="00000000" w:rsidRDefault="009036C5">
            <w:pPr>
              <w:ind w:firstLine="284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 Казахская ССР</w:t>
            </w:r>
          </w:p>
        </w:tc>
        <w:tc>
          <w:tcPr>
            <w:tcW w:w="1559" w:type="dxa"/>
          </w:tcPr>
          <w:p w:rsidR="00000000" w:rsidRDefault="009036C5">
            <w:pPr>
              <w:ind w:firstLine="284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IV, 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119" w:type="dxa"/>
          </w:tcPr>
          <w:p w:rsidR="00000000" w:rsidRDefault="009036C5">
            <w:pPr>
              <w:ind w:firstLine="284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 Киргизская ССР</w:t>
            </w:r>
          </w:p>
        </w:tc>
        <w:tc>
          <w:tcPr>
            <w:tcW w:w="1559" w:type="dxa"/>
          </w:tcPr>
          <w:p w:rsidR="00000000" w:rsidRDefault="009036C5">
            <w:pPr>
              <w:ind w:firstLine="284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III, IV, 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119" w:type="dxa"/>
          </w:tcPr>
          <w:p w:rsidR="00000000" w:rsidRDefault="009036C5">
            <w:pPr>
              <w:ind w:firstLine="284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 Латвийская ССР</w:t>
            </w:r>
          </w:p>
        </w:tc>
        <w:tc>
          <w:tcPr>
            <w:tcW w:w="1559" w:type="dxa"/>
          </w:tcPr>
          <w:p w:rsidR="00000000" w:rsidRDefault="009036C5">
            <w:pPr>
              <w:ind w:firstLine="284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19" w:type="dxa"/>
          </w:tcPr>
          <w:p w:rsidR="00000000" w:rsidRDefault="009036C5">
            <w:pPr>
              <w:ind w:firstLine="284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 Литовская ССР</w:t>
            </w:r>
          </w:p>
        </w:tc>
        <w:tc>
          <w:tcPr>
            <w:tcW w:w="1559" w:type="dxa"/>
          </w:tcPr>
          <w:p w:rsidR="00000000" w:rsidRDefault="009036C5">
            <w:pPr>
              <w:ind w:firstLine="284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19" w:type="dxa"/>
          </w:tcPr>
          <w:p w:rsidR="00000000" w:rsidRDefault="009036C5">
            <w:pPr>
              <w:ind w:firstLine="284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 Молдавская ССР</w:t>
            </w:r>
          </w:p>
        </w:tc>
        <w:tc>
          <w:tcPr>
            <w:tcW w:w="1559" w:type="dxa"/>
          </w:tcPr>
          <w:p w:rsidR="00000000" w:rsidRDefault="009036C5">
            <w:pPr>
              <w:ind w:firstLine="284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III, 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119" w:type="dxa"/>
          </w:tcPr>
          <w:p w:rsidR="00000000" w:rsidRDefault="009036C5">
            <w:pPr>
              <w:ind w:firstLine="284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 Таджикская ССР</w:t>
            </w:r>
          </w:p>
        </w:tc>
        <w:tc>
          <w:tcPr>
            <w:tcW w:w="1559" w:type="dxa"/>
          </w:tcPr>
          <w:p w:rsidR="00000000" w:rsidRDefault="009036C5">
            <w:pPr>
              <w:ind w:firstLine="284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19" w:type="dxa"/>
          </w:tcPr>
          <w:p w:rsidR="00000000" w:rsidRDefault="009036C5">
            <w:pPr>
              <w:ind w:firstLine="284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11</w:t>
            </w:r>
            <w:r>
              <w:rPr>
                <w:b w:val="0"/>
                <w:sz w:val="20"/>
              </w:rPr>
              <w:t>. Тур</w:t>
            </w:r>
            <w:r>
              <w:rPr>
                <w:b w:val="0"/>
                <w:sz w:val="20"/>
              </w:rPr>
              <w:t>кменская ССР</w:t>
            </w:r>
          </w:p>
        </w:tc>
        <w:tc>
          <w:tcPr>
            <w:tcW w:w="1559" w:type="dxa"/>
          </w:tcPr>
          <w:p w:rsidR="00000000" w:rsidRDefault="009036C5">
            <w:pPr>
              <w:ind w:firstLine="284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119" w:type="dxa"/>
          </w:tcPr>
          <w:p w:rsidR="00000000" w:rsidRDefault="009036C5">
            <w:pPr>
              <w:ind w:firstLine="284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12. Узбекская ССР</w:t>
            </w:r>
          </w:p>
        </w:tc>
        <w:tc>
          <w:tcPr>
            <w:tcW w:w="1559" w:type="dxa"/>
          </w:tcPr>
          <w:p w:rsidR="00000000" w:rsidRDefault="009036C5">
            <w:pPr>
              <w:ind w:firstLine="284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119" w:type="dxa"/>
          </w:tcPr>
          <w:p w:rsidR="00000000" w:rsidRDefault="009036C5">
            <w:pPr>
              <w:ind w:firstLine="284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13. Украинская ССР</w:t>
            </w:r>
          </w:p>
        </w:tc>
        <w:tc>
          <w:tcPr>
            <w:tcW w:w="1559" w:type="dxa"/>
          </w:tcPr>
          <w:p w:rsidR="00000000" w:rsidRDefault="009036C5">
            <w:pPr>
              <w:ind w:firstLine="284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II, III, 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119" w:type="dxa"/>
          </w:tcPr>
          <w:p w:rsidR="00000000" w:rsidRDefault="009036C5">
            <w:pPr>
              <w:ind w:firstLine="284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14. Эстонская ССР</w:t>
            </w:r>
          </w:p>
        </w:tc>
        <w:tc>
          <w:tcPr>
            <w:tcW w:w="1559" w:type="dxa"/>
          </w:tcPr>
          <w:p w:rsidR="00000000" w:rsidRDefault="009036C5">
            <w:pPr>
              <w:ind w:firstLine="284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II</w:t>
            </w:r>
          </w:p>
        </w:tc>
      </w:tr>
    </w:tbl>
    <w:p w:rsidR="00000000" w:rsidRDefault="009036C5">
      <w:pPr>
        <w:ind w:firstLine="284"/>
        <w:jc w:val="both"/>
        <w:rPr>
          <w:b w:val="0"/>
          <w:sz w:val="20"/>
        </w:rPr>
      </w:pP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 xml:space="preserve">2. Для дорог, находящихся в горных условиях </w:t>
      </w:r>
      <w:r>
        <w:rPr>
          <w:b w:val="0"/>
          <w:sz w:val="20"/>
          <w:lang w:val="en-US"/>
        </w:rPr>
        <w:t>V</w:t>
      </w:r>
      <w:r>
        <w:rPr>
          <w:b w:val="0"/>
          <w:sz w:val="20"/>
        </w:rPr>
        <w:t xml:space="preserve"> дорожно-климатической зоны, следует учитывать вертикальную зональность. При расположении дороги над уровнем моря на высоте от 1000 до 1500 м норму срока службы дорожной одежды и норму уровня надежности следует снизить на 7</w:t>
      </w:r>
      <w:r>
        <w:rPr>
          <w:b w:val="0"/>
          <w:sz w:val="20"/>
          <w:lang w:val="en-US"/>
        </w:rPr>
        <w:t xml:space="preserve"> </w:t>
      </w:r>
      <w:r>
        <w:rPr>
          <w:b w:val="0"/>
          <w:sz w:val="20"/>
        </w:rPr>
        <w:t>% м 3 % соответственно, от 1500 да 2000 м - на 10 % и 4,5 %, от 2000 до 2500 м - на 14 % и 6 % и свыше 2500 м - на 20 % и 10 % соответственно. Допускае</w:t>
      </w:r>
      <w:r>
        <w:rPr>
          <w:b w:val="0"/>
          <w:sz w:val="20"/>
        </w:rPr>
        <w:t>тся понижение межремонтных сроков службы до 30 % в условиях, где наблюдаются деформации, связанные с потерей устойчивости земляного полотна.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 xml:space="preserve">3. В региональных условиях Белорусской ССР норма срока службы поверхностных обработок (дорожных покрытий) на автомобильных дорогах </w:t>
      </w:r>
      <w:r>
        <w:rPr>
          <w:b w:val="0"/>
          <w:sz w:val="20"/>
          <w:lang w:val="en-US"/>
        </w:rPr>
        <w:t>III-IV</w:t>
      </w:r>
      <w:r>
        <w:rPr>
          <w:b w:val="0"/>
          <w:sz w:val="20"/>
        </w:rPr>
        <w:t xml:space="preserve"> категорий не должна превышать 3-4 года.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4. В региональных условиях Узбекской ССР допускается увеличение срока службы дорожных покрытий до 7-9 лет для дорожных одежд капитального типа.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5. В региональных условиях Украинской ССР и Молда</w:t>
      </w:r>
      <w:r>
        <w:rPr>
          <w:b w:val="0"/>
          <w:sz w:val="20"/>
        </w:rPr>
        <w:t>вской ССР минимальные сроки службы дорожных покрытий одежд капитального и облегченного типов принимают равными не менее трех лет.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6. В региональных условиях Эстонской ССР в отличие от норм, рекомендуемых табл. 2, наибольший срок службы дорожных покрытий одежд облегченного и капитального типов - пять лет. При интенсивности движения на полосу от 1500 до 2500 и 2500 до 6500 авт./сут. сроки службы равны четырем и трем годам соответственно.</w:t>
      </w:r>
    </w:p>
    <w:p w:rsidR="00000000" w:rsidRDefault="009036C5">
      <w:pPr>
        <w:ind w:firstLine="284"/>
        <w:jc w:val="both"/>
        <w:rPr>
          <w:b w:val="0"/>
          <w:sz w:val="20"/>
        </w:rPr>
      </w:pPr>
    </w:p>
    <w:p w:rsidR="00000000" w:rsidRDefault="009036C5">
      <w:pPr>
        <w:ind w:firstLine="284"/>
        <w:jc w:val="both"/>
        <w:rPr>
          <w:b w:val="0"/>
          <w:sz w:val="20"/>
        </w:rPr>
      </w:pPr>
    </w:p>
    <w:p w:rsidR="00000000" w:rsidRDefault="009036C5">
      <w:pPr>
        <w:ind w:firstLine="284"/>
        <w:jc w:val="right"/>
        <w:rPr>
          <w:b w:val="0"/>
          <w:sz w:val="20"/>
        </w:rPr>
      </w:pPr>
      <w:r>
        <w:rPr>
          <w:b w:val="0"/>
          <w:sz w:val="20"/>
        </w:rPr>
        <w:t xml:space="preserve">Приложение 2 </w:t>
      </w:r>
    </w:p>
    <w:p w:rsidR="00000000" w:rsidRDefault="009036C5">
      <w:pPr>
        <w:ind w:firstLine="284"/>
        <w:jc w:val="both"/>
        <w:rPr>
          <w:b w:val="0"/>
          <w:sz w:val="20"/>
        </w:rPr>
      </w:pPr>
    </w:p>
    <w:p w:rsidR="00000000" w:rsidRDefault="009036C5">
      <w:pPr>
        <w:ind w:firstLine="284"/>
        <w:jc w:val="center"/>
        <w:rPr>
          <w:sz w:val="20"/>
        </w:rPr>
      </w:pPr>
      <w:r>
        <w:rPr>
          <w:sz w:val="20"/>
        </w:rPr>
        <w:t>Список участников разработки норм</w:t>
      </w:r>
    </w:p>
    <w:p w:rsidR="00000000" w:rsidRDefault="009036C5">
      <w:pPr>
        <w:ind w:firstLine="284"/>
        <w:jc w:val="both"/>
        <w:rPr>
          <w:b w:val="0"/>
          <w:sz w:val="20"/>
        </w:rPr>
      </w:pP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Алестин В.К. при уча</w:t>
      </w:r>
      <w:r>
        <w:rPr>
          <w:b w:val="0"/>
          <w:sz w:val="20"/>
        </w:rPr>
        <w:t>стии Большаковой И.В., Дудакова А.И., Ермакова М.Л., Куликова С.С., Степановой Т.Н., Стрижевского</w:t>
      </w:r>
      <w:r>
        <w:rPr>
          <w:b w:val="0"/>
          <w:sz w:val="20"/>
          <w:lang w:val="en-US"/>
        </w:rPr>
        <w:t xml:space="preserve"> A.M.</w:t>
      </w:r>
      <w:r>
        <w:rPr>
          <w:b w:val="0"/>
          <w:sz w:val="20"/>
        </w:rPr>
        <w:t>,</w:t>
      </w:r>
      <w:r>
        <w:rPr>
          <w:b w:val="0"/>
          <w:sz w:val="20"/>
          <w:lang w:val="en-US"/>
        </w:rPr>
        <w:t xml:space="preserve"> </w:t>
      </w:r>
      <w:r>
        <w:rPr>
          <w:b w:val="0"/>
          <w:sz w:val="20"/>
        </w:rPr>
        <w:t>Тулуповой Е.В. (Гипродорнии Минавтодора РСФСР - ответственный за выполнение НИР)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Корсунский</w:t>
      </w:r>
      <w:r>
        <w:rPr>
          <w:b w:val="0"/>
          <w:sz w:val="20"/>
          <w:lang w:val="en-US"/>
        </w:rPr>
        <w:t xml:space="preserve"> </w:t>
      </w:r>
      <w:r>
        <w:rPr>
          <w:b w:val="0"/>
          <w:sz w:val="20"/>
        </w:rPr>
        <w:t>М</w:t>
      </w:r>
      <w:r>
        <w:rPr>
          <w:b w:val="0"/>
          <w:sz w:val="20"/>
          <w:lang w:val="en-US"/>
        </w:rPr>
        <w:t>.</w:t>
      </w:r>
      <w:r>
        <w:rPr>
          <w:b w:val="0"/>
          <w:sz w:val="20"/>
        </w:rPr>
        <w:t>Б</w:t>
      </w:r>
      <w:r>
        <w:rPr>
          <w:b w:val="0"/>
          <w:sz w:val="20"/>
          <w:lang w:val="en-US"/>
        </w:rPr>
        <w:t>.</w:t>
      </w:r>
      <w:r>
        <w:rPr>
          <w:b w:val="0"/>
          <w:sz w:val="20"/>
        </w:rPr>
        <w:t xml:space="preserve"> (Ленинградский филиал Союздорнии)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Васильев А.П. при участии Тулаевой И.А. (МАДИ);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Углов В.А., Фридрих</w:t>
      </w:r>
      <w:r>
        <w:rPr>
          <w:b w:val="0"/>
          <w:sz w:val="20"/>
          <w:lang w:val="en-US"/>
        </w:rPr>
        <w:t xml:space="preserve"> H.</w:t>
      </w:r>
      <w:r>
        <w:rPr>
          <w:b w:val="0"/>
          <w:sz w:val="20"/>
        </w:rPr>
        <w:t>Г.,. Раснянский Ю.И., Иванов С.П., (Ростовский-на-Дону филиал Гипродорнии);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Ройзин В.Я., Набока Н.И.,</w:t>
      </w:r>
      <w:r>
        <w:rPr>
          <w:b w:val="0"/>
          <w:sz w:val="20"/>
          <w:lang w:val="en-US"/>
        </w:rPr>
        <w:t xml:space="preserve"> </w:t>
      </w:r>
      <w:r>
        <w:rPr>
          <w:b w:val="0"/>
          <w:sz w:val="20"/>
        </w:rPr>
        <w:t>Юдина</w:t>
      </w:r>
      <w:r>
        <w:rPr>
          <w:b w:val="0"/>
          <w:sz w:val="20"/>
          <w:lang w:val="en-US"/>
        </w:rPr>
        <w:t xml:space="preserve"> B.M.</w:t>
      </w:r>
      <w:r>
        <w:rPr>
          <w:b w:val="0"/>
          <w:sz w:val="20"/>
        </w:rPr>
        <w:t>, (Саратовский филиал Гипродорнии);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 xml:space="preserve">Пермин Г.И. при участии Нечаевой З.И. (Свердловский филиал </w:t>
      </w:r>
      <w:r>
        <w:rPr>
          <w:b w:val="0"/>
          <w:sz w:val="20"/>
        </w:rPr>
        <w:t>Гипродорнии);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Малышев Алексей А., Малышев Александр А., Христолюбов И.Н. (СибАДИ);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Закурдаев И.Е., Воронин А.А., Кудимова Л.И. (Хабаровский филиал Гипродорнии);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Буренков</w:t>
      </w:r>
      <w:r>
        <w:rPr>
          <w:b w:val="0"/>
          <w:sz w:val="20"/>
          <w:lang w:val="en-US"/>
        </w:rPr>
        <w:t xml:space="preserve"> </w:t>
      </w:r>
      <w:r>
        <w:rPr>
          <w:b w:val="0"/>
          <w:sz w:val="20"/>
        </w:rPr>
        <w:t>Ю</w:t>
      </w:r>
      <w:r>
        <w:rPr>
          <w:b w:val="0"/>
          <w:sz w:val="20"/>
          <w:lang w:val="en-US"/>
        </w:rPr>
        <w:t>.H.</w:t>
      </w:r>
      <w:r>
        <w:rPr>
          <w:b w:val="0"/>
          <w:sz w:val="20"/>
        </w:rPr>
        <w:t>, Пономарева Н.И. (ВЦ Минавтодора РСФСР);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Мусаев</w:t>
      </w:r>
      <w:r>
        <w:rPr>
          <w:b w:val="0"/>
          <w:sz w:val="20"/>
          <w:lang w:val="en-US"/>
        </w:rPr>
        <w:t xml:space="preserve"> </w:t>
      </w:r>
      <w:r>
        <w:rPr>
          <w:b w:val="0"/>
          <w:sz w:val="20"/>
        </w:rPr>
        <w:t>М</w:t>
      </w:r>
      <w:r>
        <w:rPr>
          <w:b w:val="0"/>
          <w:sz w:val="20"/>
          <w:lang w:val="en-US"/>
        </w:rPr>
        <w:t>.</w:t>
      </w:r>
      <w:r>
        <w:rPr>
          <w:b w:val="0"/>
          <w:sz w:val="20"/>
        </w:rPr>
        <w:t>М</w:t>
      </w:r>
      <w:r>
        <w:rPr>
          <w:b w:val="0"/>
          <w:sz w:val="20"/>
          <w:lang w:val="en-US"/>
        </w:rPr>
        <w:t>.</w:t>
      </w:r>
      <w:r>
        <w:rPr>
          <w:b w:val="0"/>
          <w:sz w:val="20"/>
        </w:rPr>
        <w:t xml:space="preserve"> (Аздорпроект);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Ахмедов К.М., Караисаев Н.М., Абрамов Я.Х. (НИЛ Минстройавтодора АзССР);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Карапетян А. А. (Техническое управление Минавтодора Армянской ССР);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Пастернацкий В.А. (НПО Дорстройтехника);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Шилакадзе Т.А., Гегелия Д.И., Дэнеладзе</w:t>
      </w:r>
      <w:r>
        <w:rPr>
          <w:b w:val="0"/>
          <w:sz w:val="20"/>
          <w:lang w:val="en-US"/>
        </w:rPr>
        <w:t xml:space="preserve"> P.M.,</w:t>
      </w:r>
      <w:r>
        <w:rPr>
          <w:b w:val="0"/>
          <w:sz w:val="20"/>
        </w:rPr>
        <w:t xml:space="preserve"> Суренян Е.А. при участии Бабарадзе М.А., </w:t>
      </w:r>
      <w:r>
        <w:rPr>
          <w:b w:val="0"/>
          <w:sz w:val="20"/>
        </w:rPr>
        <w:t>Бериашвили Г.К., Датунашвили Т.С., Евтюхиной В.Е., Кикнадзе Ц.В., Корашвили М.У., Левит А.А., Нозадзе А.И., Чигогидзе Г.Е., Церетели З.М., Циклаури Л.М., Нацалишвили Н.Н. (Грузгосоргдорнии);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Котвицкий А.Ф., Красиков О.А. (Казахский филиал Союздорнии);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Сматов Т.Ш., Тюлегенов К.А., Тургунбаев А.Т., Абеков Т.У. (КиргязавтодорКТИ);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Палшайтис Э.Л. (Вильнюсский ИСИ);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Пранайтис Э.А., Каждайлис</w:t>
      </w:r>
      <w:r>
        <w:rPr>
          <w:b w:val="0"/>
          <w:sz w:val="20"/>
          <w:lang w:val="en-US"/>
        </w:rPr>
        <w:t xml:space="preserve"> </w:t>
      </w:r>
      <w:r>
        <w:rPr>
          <w:b w:val="0"/>
          <w:sz w:val="20"/>
        </w:rPr>
        <w:t>П. (Трест "Оргтехдорстрой Минавтошосдора Литовской ССР);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Кожушко И.Г. (Трест Оргдорстрой Минавтодора Молдавской</w:t>
      </w:r>
      <w:r>
        <w:rPr>
          <w:b w:val="0"/>
          <w:sz w:val="20"/>
          <w:lang w:val="en-US"/>
        </w:rPr>
        <w:t xml:space="preserve"> C</w:t>
      </w:r>
      <w:r>
        <w:rPr>
          <w:b w:val="0"/>
          <w:sz w:val="20"/>
        </w:rPr>
        <w:t>СР</w:t>
      </w:r>
      <w:r>
        <w:rPr>
          <w:b w:val="0"/>
          <w:sz w:val="20"/>
          <w:lang w:val="en-US"/>
        </w:rPr>
        <w:t>);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Бутл</w:t>
      </w:r>
      <w:r>
        <w:rPr>
          <w:b w:val="0"/>
          <w:sz w:val="20"/>
        </w:rPr>
        <w:t>ицкий</w:t>
      </w:r>
      <w:r>
        <w:rPr>
          <w:b w:val="0"/>
          <w:sz w:val="20"/>
          <w:lang w:val="en-US"/>
        </w:rPr>
        <w:t xml:space="preserve"> </w:t>
      </w:r>
      <w:r>
        <w:rPr>
          <w:b w:val="0"/>
          <w:sz w:val="20"/>
        </w:rPr>
        <w:t>Ю.</w:t>
      </w:r>
      <w:r>
        <w:rPr>
          <w:b w:val="0"/>
          <w:sz w:val="20"/>
          <w:lang w:val="en-US"/>
        </w:rPr>
        <w:t>B.</w:t>
      </w:r>
      <w:r>
        <w:rPr>
          <w:b w:val="0"/>
          <w:sz w:val="20"/>
        </w:rPr>
        <w:t>, Пасынский</w:t>
      </w:r>
      <w:r>
        <w:rPr>
          <w:b w:val="0"/>
          <w:sz w:val="20"/>
          <w:lang w:val="en-US"/>
        </w:rPr>
        <w:t xml:space="preserve"> </w:t>
      </w:r>
      <w:r>
        <w:rPr>
          <w:b w:val="0"/>
          <w:sz w:val="20"/>
        </w:rPr>
        <w:t>Л</w:t>
      </w:r>
      <w:r>
        <w:rPr>
          <w:b w:val="0"/>
          <w:sz w:val="20"/>
          <w:lang w:val="en-US"/>
        </w:rPr>
        <w:t>.H.</w:t>
      </w:r>
      <w:r>
        <w:rPr>
          <w:b w:val="0"/>
          <w:sz w:val="20"/>
        </w:rPr>
        <w:t xml:space="preserve"> (Среднеазиатский филиал Союздорнии;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Сиденко B.M., Аленич М.Д., Иваница Е.В., Титаренко</w:t>
      </w:r>
      <w:r>
        <w:rPr>
          <w:b w:val="0"/>
          <w:sz w:val="20"/>
          <w:lang w:val="en-US"/>
        </w:rPr>
        <w:t xml:space="preserve"> A.</w:t>
      </w:r>
      <w:r>
        <w:rPr>
          <w:b w:val="0"/>
          <w:sz w:val="20"/>
        </w:rPr>
        <w:t>М</w:t>
      </w:r>
      <w:r>
        <w:rPr>
          <w:b w:val="0"/>
          <w:sz w:val="20"/>
          <w:lang w:val="en-US"/>
        </w:rPr>
        <w:t>.</w:t>
      </w:r>
      <w:r>
        <w:rPr>
          <w:b w:val="0"/>
          <w:sz w:val="20"/>
        </w:rPr>
        <w:t xml:space="preserve"> при участии Булах А.И. (КАДИ);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Колинченко Н.Н., Кизима А.С., Носова, Н.В. (Госдорнии);</w:t>
      </w:r>
    </w:p>
    <w:p w:rsidR="00000000" w:rsidRDefault="009036C5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Михович С.И., Кудрявцев Н.М., Стороженко М.С., Коломнец В.А. (ХАДИ).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6C5"/>
    <w:rsid w:val="0090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1760</Words>
  <Characters>10035</Characters>
  <Application>Microsoft Office Word</Application>
  <DocSecurity>0</DocSecurity>
  <Lines>83</Lines>
  <Paragraphs>23</Paragraphs>
  <ScaleCrop>false</ScaleCrop>
  <Company>Elcom Ltd</Company>
  <LinksUpToDate>false</LinksUpToDate>
  <CharactersWithSpaces>11772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автомобильных	</dc:title>
  <dc:subject/>
  <dc:creator>CNTI</dc:creator>
  <cp:keywords/>
  <dc:description/>
  <cp:lastModifiedBy>Parhomeiai</cp:lastModifiedBy>
  <cp:revision>2</cp:revision>
  <dcterms:created xsi:type="dcterms:W3CDTF">2013-04-11T10:19:00Z</dcterms:created>
  <dcterms:modified xsi:type="dcterms:W3CDTF">2013-04-11T10:19:00Z</dcterms:modified>
</cp:coreProperties>
</file>