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7243">
      <w:pPr>
        <w:ind w:right="2834"/>
        <w:jc w:val="center"/>
      </w:pPr>
      <w:bookmarkStart w:id="0" w:name="_GoBack"/>
      <w:bookmarkEnd w:id="0"/>
      <w:r>
        <w:t>МИНИСТЕРСТИВО ЭНЕРГЕТИКИ И ЭЛЕТРОФИКАЦИИ СССР</w:t>
      </w:r>
    </w:p>
    <w:p w:rsidR="00000000" w:rsidRDefault="001A7243">
      <w:pPr>
        <w:ind w:right="2834"/>
        <w:jc w:val="center"/>
        <w:rPr>
          <w:caps/>
        </w:rPr>
      </w:pPr>
      <w:r>
        <w:rPr>
          <w:caps/>
        </w:rPr>
        <w:t>главниипроект</w:t>
      </w:r>
    </w:p>
    <w:p w:rsidR="00000000" w:rsidRDefault="001A7243">
      <w:pPr>
        <w:ind w:right="2834"/>
        <w:jc w:val="center"/>
        <w:rPr>
          <w:caps/>
        </w:rPr>
      </w:pPr>
      <w:r>
        <w:rPr>
          <w:caps/>
        </w:rPr>
        <w:t>всесоюзный ордена трудового красного знамени</w:t>
      </w:r>
    </w:p>
    <w:p w:rsidR="00000000" w:rsidRDefault="001A7243">
      <w:pPr>
        <w:ind w:right="2834"/>
        <w:jc w:val="center"/>
      </w:pPr>
      <w:r>
        <w:rPr>
          <w:caps/>
        </w:rPr>
        <w:t>научно-исследовательский институт гидротехники</w:t>
      </w:r>
    </w:p>
    <w:p w:rsidR="00000000" w:rsidRDefault="001A7243">
      <w:pPr>
        <w:ind w:right="2834"/>
        <w:jc w:val="center"/>
      </w:pPr>
      <w:r>
        <w:t>имени Б.Е. ВЕДЕНЕЕВА</w:t>
      </w:r>
    </w:p>
    <w:p w:rsidR="00000000" w:rsidRDefault="001A7243">
      <w:pPr>
        <w:jc w:val="center"/>
        <w:rPr>
          <w:sz w:val="24"/>
        </w:rPr>
      </w:pPr>
    </w:p>
    <w:p w:rsidR="00000000" w:rsidRDefault="001A7243">
      <w:pPr>
        <w:jc w:val="center"/>
        <w:rPr>
          <w:sz w:val="24"/>
        </w:rPr>
      </w:pPr>
    </w:p>
    <w:p w:rsidR="00000000" w:rsidRDefault="001A7243">
      <w:pPr>
        <w:ind w:right="2834"/>
        <w:jc w:val="center"/>
        <w:rPr>
          <w:b/>
        </w:rPr>
      </w:pPr>
      <w:r>
        <w:rPr>
          <w:b/>
        </w:rPr>
        <w:t>И Н С Т Р У К Ц И Я</w:t>
      </w:r>
    </w:p>
    <w:p w:rsidR="00000000" w:rsidRDefault="001A7243">
      <w:pPr>
        <w:ind w:right="2834"/>
        <w:jc w:val="center"/>
        <w:rPr>
          <w:b/>
        </w:rPr>
      </w:pPr>
      <w:r>
        <w:rPr>
          <w:b/>
          <w:caps/>
        </w:rPr>
        <w:t>по</w:t>
      </w:r>
      <w:r>
        <w:rPr>
          <w:b/>
        </w:rPr>
        <w:t xml:space="preserve"> ОПРЕДЕЛЕНИЮ ПРОЧНОСТИ</w:t>
      </w:r>
    </w:p>
    <w:p w:rsidR="00000000" w:rsidRDefault="001A7243">
      <w:pPr>
        <w:ind w:right="2834"/>
        <w:jc w:val="center"/>
      </w:pPr>
      <w:r>
        <w:rPr>
          <w:b/>
        </w:rPr>
        <w:t>БЕТОННЫХ СООРУЖЕНИЙ</w:t>
      </w:r>
    </w:p>
    <w:p w:rsidR="00000000" w:rsidRDefault="001A7243">
      <w:pPr>
        <w:ind w:right="2834"/>
        <w:jc w:val="center"/>
      </w:pPr>
    </w:p>
    <w:p w:rsidR="00000000" w:rsidRDefault="001A7243">
      <w:pPr>
        <w:ind w:right="2834"/>
        <w:jc w:val="center"/>
        <w:rPr>
          <w:u w:val="single"/>
        </w:rPr>
      </w:pPr>
      <w:r>
        <w:rPr>
          <w:u w:val="single"/>
        </w:rPr>
        <w:t>ВСН 02-74</w:t>
      </w:r>
    </w:p>
    <w:p w:rsidR="00000000" w:rsidRDefault="001A7243">
      <w:pPr>
        <w:ind w:right="2834"/>
        <w:jc w:val="center"/>
      </w:pPr>
      <w:r>
        <w:t>Минэн</w:t>
      </w:r>
      <w:r>
        <w:t>ерго СССР</w:t>
      </w:r>
    </w:p>
    <w:p w:rsidR="00000000" w:rsidRDefault="001A7243">
      <w:pPr>
        <w:jc w:val="center"/>
        <w:rPr>
          <w:sz w:val="28"/>
        </w:rPr>
      </w:pPr>
    </w:p>
    <w:p w:rsidR="00000000" w:rsidRDefault="001A7243">
      <w:pPr>
        <w:jc w:val="center"/>
      </w:pPr>
    </w:p>
    <w:p w:rsidR="00000000" w:rsidRDefault="001A7243">
      <w:pPr>
        <w:ind w:right="2834"/>
        <w:jc w:val="center"/>
      </w:pPr>
      <w:r>
        <w:t>“ЭНЕРГИЯ”</w:t>
      </w:r>
    </w:p>
    <w:p w:rsidR="00000000" w:rsidRDefault="001A7243">
      <w:pPr>
        <w:ind w:right="2834"/>
        <w:jc w:val="center"/>
      </w:pPr>
      <w:r>
        <w:t>Ленинградское отделение</w:t>
      </w:r>
    </w:p>
    <w:p w:rsidR="00000000" w:rsidRDefault="001A7243">
      <w:pPr>
        <w:ind w:right="2834"/>
        <w:jc w:val="center"/>
      </w:pPr>
      <w:r>
        <w:t>1974</w:t>
      </w:r>
    </w:p>
    <w:p w:rsidR="00000000" w:rsidRDefault="001A7243">
      <w:pPr>
        <w:ind w:right="2834" w:firstLine="284"/>
        <w:jc w:val="both"/>
      </w:pPr>
    </w:p>
    <w:p w:rsidR="00000000" w:rsidRDefault="001A7243">
      <w:pPr>
        <w:ind w:right="2834" w:firstLine="284"/>
        <w:jc w:val="both"/>
      </w:pPr>
      <w:r>
        <w:t>В работе изложена новая методика расчета бетонных сооружений, основанная на учете длительной прочности и вида сложного напряже</w:t>
      </w:r>
      <w:r>
        <w:t>н</w:t>
      </w:r>
      <w:r>
        <w:t>ного состояния бетона. Инструкция рассчитана на проектировщиков и стро</w:t>
      </w:r>
      <w:r>
        <w:t>и</w:t>
      </w:r>
      <w:r>
        <w:t>телей гидротехнических сооружений.</w:t>
      </w:r>
    </w:p>
    <w:p w:rsidR="00000000" w:rsidRDefault="001A7243">
      <w:pPr>
        <w:ind w:right="2834" w:firstLine="284"/>
        <w:jc w:val="both"/>
      </w:pPr>
      <w:r>
        <w:t>Предлагаемым методам расчета можно пользоваться не только при проектировании бетонных гидротехнических сооружений, но и соор</w:t>
      </w:r>
      <w:r>
        <w:t>у</w:t>
      </w:r>
      <w:r>
        <w:t>жений другого назначения.</w:t>
      </w:r>
    </w:p>
    <w:p w:rsidR="00000000" w:rsidRDefault="001A7243">
      <w:pPr>
        <w:ind w:right="2834" w:firstLine="284"/>
        <w:jc w:val="both"/>
      </w:pPr>
      <w:r>
        <w:t>Работа выполнена Комплексной лабораторией бетонных и железоб</w:t>
      </w:r>
      <w:r>
        <w:t>е</w:t>
      </w:r>
      <w:r>
        <w:t>тонных сооружен</w:t>
      </w:r>
      <w:r>
        <w:t>ий ВНИИГ им. Б.Е. Веденеева. Ответственный испо</w:t>
      </w:r>
      <w:r>
        <w:t>л</w:t>
      </w:r>
      <w:r>
        <w:t>нитель работы - ст.науч.сотр.канд.техн.наук А.П.Пак.</w:t>
      </w:r>
    </w:p>
    <w:p w:rsidR="00000000" w:rsidRDefault="001A7243">
      <w:pPr>
        <w:jc w:val="center"/>
        <w:rPr>
          <w:sz w:val="16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749"/>
        <w:gridCol w:w="16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right w:val="nil"/>
            </w:tcBorders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 ЭНЕРГЕТИКИ И ЭЛЕКТРИФИКАЦИИ СССР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Ведомственные строительные нормы</w:t>
            </w:r>
          </w:p>
        </w:tc>
        <w:tc>
          <w:tcPr>
            <w:tcW w:w="1645" w:type="dxa"/>
            <w:tcBorders>
              <w:left w:val="nil"/>
            </w:tcBorders>
          </w:tcPr>
          <w:p w:rsidR="00000000" w:rsidRDefault="001A7243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ВСН 02-74</w:t>
            </w:r>
          </w:p>
          <w:p w:rsidR="00000000" w:rsidRDefault="001A7243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Минэнерго СССР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right w:val="nil"/>
            </w:tcBorders>
          </w:tcPr>
          <w:p w:rsidR="00000000" w:rsidRDefault="001A7243">
            <w:pPr>
              <w:jc w:val="center"/>
              <w:rPr>
                <w:sz w:val="16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Инструкция по определению прочн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 xml:space="preserve">сти бетонных </w:t>
            </w: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сооруж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ний</w:t>
            </w:r>
          </w:p>
        </w:tc>
        <w:tc>
          <w:tcPr>
            <w:tcW w:w="1645" w:type="dxa"/>
            <w:tcBorders>
              <w:left w:val="nil"/>
            </w:tcBorders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Печатается впервые</w:t>
            </w:r>
          </w:p>
        </w:tc>
      </w:tr>
    </w:tbl>
    <w:p w:rsidR="00000000" w:rsidRDefault="001A7243">
      <w:pPr>
        <w:jc w:val="center"/>
      </w:pPr>
    </w:p>
    <w:p w:rsidR="00000000" w:rsidRDefault="001A7243">
      <w:pPr>
        <w:ind w:right="2834"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1A7243">
      <w:pPr>
        <w:ind w:right="2834" w:firstLine="284"/>
        <w:jc w:val="both"/>
        <w:rPr>
          <w:b/>
        </w:rPr>
      </w:pPr>
    </w:p>
    <w:p w:rsidR="00000000" w:rsidRDefault="001A7243">
      <w:pPr>
        <w:ind w:right="2834" w:firstLine="284"/>
        <w:jc w:val="both"/>
      </w:pPr>
      <w:r>
        <w:t>1.1. Настоящая Инструкция развивает и дополняет положения</w:t>
      </w:r>
      <w:r>
        <w:rPr>
          <w:b/>
        </w:rPr>
        <w:t xml:space="preserve"> п.п. </w:t>
      </w:r>
      <w:r>
        <w:t>1.3, 4.2, 4.3, 4,15 главы СНиП П-И 14-69 “Бетонные и железобетонные конструкции гидротехнических сооружений. Нормы проектирования” и распростра</w:t>
      </w:r>
      <w:r>
        <w:t>няется на проектирование бетонных гидротехнических с</w:t>
      </w:r>
      <w:r>
        <w:t>о</w:t>
      </w:r>
      <w:r>
        <w:t>оружений, материал которых испытывает в основном сложное напр</w:t>
      </w:r>
      <w:r>
        <w:t>я</w:t>
      </w:r>
      <w:r>
        <w:t>женное состо</w:t>
      </w:r>
      <w:r>
        <w:t>я</w:t>
      </w:r>
      <w:r>
        <w:t>ние.</w:t>
      </w:r>
    </w:p>
    <w:p w:rsidR="00000000" w:rsidRDefault="001A7243">
      <w:pPr>
        <w:ind w:right="2834" w:firstLine="284"/>
        <w:jc w:val="both"/>
      </w:pPr>
      <w:r>
        <w:t>1.2. Указания настоящей Инструкции в соответствии с главой СНиП II-A 10-71 “Строительные конструкции и основания. Основные полож</w:t>
      </w:r>
      <w:r>
        <w:t>е</w:t>
      </w:r>
      <w:r>
        <w:t>ния проектирования” относятся к предельным состояниям первой гру</w:t>
      </w:r>
      <w:r>
        <w:t>п</w:t>
      </w:r>
      <w:r>
        <w:t>пы.</w:t>
      </w:r>
    </w:p>
    <w:p w:rsidR="00000000" w:rsidRDefault="001A7243">
      <w:pPr>
        <w:ind w:firstLine="709"/>
        <w:jc w:val="both"/>
        <w:rPr>
          <w:sz w:val="28"/>
        </w:rPr>
      </w:pPr>
    </w:p>
    <w:p w:rsidR="00000000" w:rsidRDefault="001A7243">
      <w:pPr>
        <w:ind w:right="2834" w:firstLine="284"/>
        <w:jc w:val="center"/>
        <w:rPr>
          <w:b/>
        </w:rPr>
      </w:pPr>
      <w:r>
        <w:rPr>
          <w:b/>
        </w:rPr>
        <w:t>2. ОСНОВНЫЕ РАСЧЕТНЫЕ ПОЛОЖЕНИЯ</w:t>
      </w:r>
    </w:p>
    <w:p w:rsidR="00000000" w:rsidRDefault="001A7243">
      <w:pPr>
        <w:ind w:right="2834" w:firstLine="284"/>
        <w:jc w:val="both"/>
      </w:pPr>
      <w:r>
        <w:t>2.1. Напряжения, возникающие в элементах бетонных сооружений, разрешается определять так же, как для однородного упругого тела. Н</w:t>
      </w:r>
      <w:r>
        <w:t>а</w:t>
      </w:r>
      <w:r>
        <w:t>пряженное состояни</w:t>
      </w:r>
      <w:r>
        <w:t>е основных сооружений следует показывать в гла</w:t>
      </w:r>
      <w:r>
        <w:t>в</w:t>
      </w:r>
      <w:r>
        <w:t>ных напряжениях  -</w:t>
      </w:r>
      <w:r>
        <w:sym w:font="Symbol" w:char="F073"/>
      </w:r>
      <w:r>
        <w:rPr>
          <w:vertAlign w:val="subscript"/>
        </w:rPr>
        <w:t>1</w:t>
      </w:r>
      <w:r>
        <w:t>&gt;</w:t>
      </w:r>
      <w:r>
        <w:sym w:font="Symbol" w:char="F073"/>
      </w:r>
      <w:r>
        <w:rPr>
          <w:vertAlign w:val="subscript"/>
        </w:rPr>
        <w:t>2</w:t>
      </w:r>
      <w:r>
        <w:t>&gt;</w:t>
      </w:r>
      <w:r>
        <w:sym w:font="Symbol" w:char="F073"/>
      </w:r>
      <w:r>
        <w:rPr>
          <w:vertAlign w:val="subscript"/>
        </w:rPr>
        <w:t xml:space="preserve">3  </w:t>
      </w:r>
      <w:r>
        <w:t xml:space="preserve">(где </w:t>
      </w:r>
      <w:r>
        <w:sym w:font="Symbol" w:char="F073"/>
      </w:r>
      <w:r>
        <w:rPr>
          <w:vertAlign w:val="subscript"/>
        </w:rPr>
        <w:t xml:space="preserve">1 </w:t>
      </w:r>
      <w:r>
        <w:t>- наибольшее главное напряж</w:t>
      </w:r>
      <w:r>
        <w:t>е</w:t>
      </w:r>
      <w:r>
        <w:t xml:space="preserve">ние, </w:t>
      </w:r>
      <w:r>
        <w:sym w:font="Symbol" w:char="F073"/>
      </w:r>
      <w:r>
        <w:rPr>
          <w:vertAlign w:val="subscript"/>
        </w:rPr>
        <w:t>2</w:t>
      </w:r>
      <w:r>
        <w:t xml:space="preserve"> - среднее главное напряжение и </w:t>
      </w:r>
      <w:r>
        <w:sym w:font="Symbol" w:char="F073"/>
      </w:r>
      <w:r>
        <w:rPr>
          <w:vertAlign w:val="subscript"/>
        </w:rPr>
        <w:t>3</w:t>
      </w:r>
      <w:r>
        <w:t xml:space="preserve"> наименьшее главное напр</w:t>
      </w:r>
      <w:r>
        <w:t>я</w:t>
      </w:r>
      <w:r>
        <w:t>жение). Растягивающие напряжения счит</w:t>
      </w:r>
      <w:r>
        <w:t>а</w:t>
      </w:r>
      <w:r>
        <w:t>ются положительными.</w:t>
      </w:r>
    </w:p>
    <w:p w:rsidR="00000000" w:rsidRDefault="001A7243">
      <w:pPr>
        <w:ind w:right="2834" w:firstLine="284"/>
        <w:jc w:val="both"/>
      </w:pPr>
      <w:r>
        <w:lastRenderedPageBreak/>
        <w:t>2.2. Бетонные сечения могут рассчитываться с учетом или без учета работы растянутой зоны сечения. В первом случае следует производить проверку трещиностойкости растянутой зоны сечения согласно треб</w:t>
      </w:r>
      <w:r>
        <w:t>о</w:t>
      </w:r>
      <w:r>
        <w:t>ваниям главы СНиП II-И 14-69. При этом должны учитываться как вл</w:t>
      </w:r>
      <w:r>
        <w:t>и</w:t>
      </w:r>
      <w:r>
        <w:t>яние температ</w:t>
      </w:r>
      <w:r>
        <w:t>урно-влажностных воздействий, так и влияние сло</w:t>
      </w:r>
      <w:r>
        <w:t>ж</w:t>
      </w:r>
      <w:r>
        <w:t>ного напряженного состояния на м</w:t>
      </w:r>
      <w:r>
        <w:t>о</w:t>
      </w:r>
      <w:r>
        <w:t>мент образования трещин.</w:t>
      </w:r>
    </w:p>
    <w:p w:rsidR="00000000" w:rsidRDefault="001A7243">
      <w:pPr>
        <w:ind w:right="2834" w:firstLine="284"/>
        <w:jc w:val="both"/>
      </w:pPr>
      <w:r>
        <w:t>2.3. Расчеты прочности и трещиностойкости бетонных сооружений наряду с методами, регламентированными главой СНиП II-И 14-69, в случаях, предусмотренных индивидуальными техническими условиями на проектирование отдельных сооружений, должны производиться по величине длительной прочности бетона, определяющей предельно д</w:t>
      </w:r>
      <w:r>
        <w:t>о</w:t>
      </w:r>
      <w:r>
        <w:t>п</w:t>
      </w:r>
      <w:r>
        <w:t>у</w:t>
      </w:r>
      <w:r>
        <w:t>стимые напряжения на стадии нормальной эксплуатации сооруж</w:t>
      </w:r>
      <w:r>
        <w:t>е</w:t>
      </w:r>
      <w:r>
        <w:t>ния.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4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Всесоюзным нау</w:t>
            </w:r>
            <w:r>
              <w:rPr>
                <w:sz w:val="16"/>
              </w:rPr>
              <w:t>чно-исследовательским институтом гидроте</w:t>
            </w:r>
            <w:r>
              <w:rPr>
                <w:sz w:val="16"/>
              </w:rPr>
              <w:t>х</w:t>
            </w:r>
            <w:r>
              <w:rPr>
                <w:sz w:val="16"/>
              </w:rPr>
              <w:t xml:space="preserve">ники </w:t>
            </w: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им. Б.Е.Веденеева</w:t>
            </w:r>
          </w:p>
        </w:tc>
        <w:tc>
          <w:tcPr>
            <w:tcW w:w="2552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 Минэнерго СССР 28 июня 1971 г. по согласованию с Госстроем СССР</w:t>
            </w:r>
          </w:p>
        </w:tc>
        <w:tc>
          <w:tcPr>
            <w:tcW w:w="1417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IV квартал</w:t>
            </w: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1974 г.</w:t>
            </w:r>
          </w:p>
          <w:p w:rsidR="00000000" w:rsidRDefault="001A7243">
            <w:pPr>
              <w:jc w:val="center"/>
              <w:rPr>
                <w:sz w:val="16"/>
              </w:rPr>
            </w:pPr>
          </w:p>
        </w:tc>
      </w:tr>
    </w:tbl>
    <w:p w:rsidR="00000000" w:rsidRDefault="001A7243">
      <w:pPr>
        <w:ind w:firstLine="709"/>
        <w:jc w:val="both"/>
      </w:pPr>
    </w:p>
    <w:p w:rsidR="00000000" w:rsidRDefault="001A7243">
      <w:pPr>
        <w:ind w:right="2834" w:firstLine="284"/>
        <w:jc w:val="both"/>
      </w:pPr>
      <w:r>
        <w:rPr>
          <w:b/>
        </w:rPr>
        <w:t xml:space="preserve">Примечание. </w:t>
      </w:r>
      <w:r>
        <w:t>Длительная прочность бетона характеризуется уро</w:t>
      </w:r>
      <w:r>
        <w:t>в</w:t>
      </w:r>
      <w:r>
        <w:t>нем напряжений, при превышении которых в бетоне начинаются нео</w:t>
      </w:r>
      <w:r>
        <w:t>б</w:t>
      </w:r>
      <w:r>
        <w:t>ратимые структурные изменения и соответственно начинают изменяться (ухудшаться) его характеристики - водонепроницаемость, морозосто</w:t>
      </w:r>
      <w:r>
        <w:t>й</w:t>
      </w:r>
      <w:r>
        <w:t xml:space="preserve">кость, сопротивление различным видам коррозии и т.д. Длительная прочность бетона </w:t>
      </w:r>
      <w:r>
        <w:t>определяется экспериментальными исследованиями при помощи современных измерительных приборов и приспособлений - ультразвуковых, звукометрической аппаратуры, фильтрационных уст</w:t>
      </w:r>
      <w:r>
        <w:t>а</w:t>
      </w:r>
      <w:r>
        <w:t>новок, метода дилатометрии и т.п. Величина длительной прочности должна устанавливаться с использованием минимум трех различных м</w:t>
      </w:r>
      <w:r>
        <w:t>е</w:t>
      </w:r>
      <w:r>
        <w:t>тодов, при этом в расчетах принимается ее среднее знач</w:t>
      </w:r>
      <w:r>
        <w:t>е</w:t>
      </w:r>
      <w:r>
        <w:t>ние.</w:t>
      </w:r>
    </w:p>
    <w:p w:rsidR="00000000" w:rsidRDefault="001A7243">
      <w:pPr>
        <w:ind w:right="2834" w:firstLine="284"/>
        <w:jc w:val="both"/>
      </w:pPr>
    </w:p>
    <w:p w:rsidR="00000000" w:rsidRDefault="001A7243">
      <w:pPr>
        <w:spacing w:line="360" w:lineRule="auto"/>
        <w:ind w:right="2834" w:firstLine="284"/>
        <w:jc w:val="both"/>
      </w:pPr>
      <w:r>
        <w:t>2.4. Значения длительной прочности бетона при расчете бетонных сооружений устанавливаются опытным путем с учетом статистической изменчивости сопро</w:t>
      </w:r>
      <w:r>
        <w:t>тивлений. При назначении обеспеченности велич</w:t>
      </w:r>
      <w:r>
        <w:t>и</w:t>
      </w:r>
      <w:r>
        <w:t>ны длительной прочности бетона следует руководствоваться  указани</w:t>
      </w:r>
      <w:r>
        <w:t>я</w:t>
      </w:r>
      <w:r>
        <w:t>ми примеч</w:t>
      </w:r>
      <w:r>
        <w:t>а</w:t>
      </w:r>
      <w:r>
        <w:t>ния 1 п.13 главы СНиП II-Ф 10-71.</w:t>
      </w:r>
    </w:p>
    <w:p w:rsidR="00000000" w:rsidRDefault="001A7243">
      <w:pPr>
        <w:spacing w:line="360" w:lineRule="auto"/>
        <w:ind w:right="2834" w:firstLine="284"/>
        <w:jc w:val="both"/>
      </w:pPr>
      <w:r>
        <w:t>2.5. На стадии технического проекта допускается принимать велич</w:t>
      </w:r>
      <w:r>
        <w:t>и</w:t>
      </w:r>
      <w:r>
        <w:t>ну длительной прочности бетона табл.1,2.</w:t>
      </w:r>
    </w:p>
    <w:p w:rsidR="00000000" w:rsidRDefault="001A7243">
      <w:pPr>
        <w:spacing w:line="360" w:lineRule="auto"/>
        <w:ind w:right="2834" w:firstLine="284"/>
        <w:jc w:val="center"/>
      </w:pPr>
      <w:r>
        <w:t>Таблица 1</w:t>
      </w:r>
    </w:p>
    <w:p w:rsidR="00000000" w:rsidRDefault="001A7243">
      <w:pPr>
        <w:spacing w:line="360" w:lineRule="auto"/>
        <w:ind w:right="2834" w:firstLine="284"/>
        <w:jc w:val="center"/>
      </w:pPr>
      <w:r>
        <w:t>Длительная прочность бетона при сжатии R</w:t>
      </w:r>
      <w:r>
        <w:rPr>
          <w:vertAlign w:val="subscript"/>
        </w:rPr>
        <w:t xml:space="preserve">c.т, </w:t>
      </w:r>
      <w:r>
        <w:t>кгс/см</w:t>
      </w:r>
      <w:r>
        <w:rPr>
          <w:vertAlign w:val="superscript"/>
        </w:rPr>
        <w:t>2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49"/>
        <w:gridCol w:w="585"/>
        <w:gridCol w:w="567"/>
        <w:gridCol w:w="567"/>
        <w:gridCol w:w="709"/>
        <w:gridCol w:w="764"/>
        <w:gridCol w:w="6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Проектная марка бетона по про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сти при сж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тии.....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9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09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64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653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</w:tcPr>
          <w:p w:rsidR="00000000" w:rsidRDefault="001A7243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z w:val="16"/>
                <w:vertAlign w:val="subscript"/>
              </w:rPr>
              <w:t>с.т.</w:t>
            </w:r>
            <w:r>
              <w:rPr>
                <w:sz w:val="16"/>
              </w:rPr>
              <w:t>.............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49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4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53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</w:tr>
    </w:tbl>
    <w:p w:rsidR="00000000" w:rsidRDefault="001A7243">
      <w:pPr>
        <w:spacing w:line="360" w:lineRule="auto"/>
        <w:ind w:right="2834" w:firstLine="284"/>
        <w:jc w:val="both"/>
      </w:pPr>
    </w:p>
    <w:p w:rsidR="00000000" w:rsidRDefault="001A7243">
      <w:pPr>
        <w:ind w:right="2834" w:firstLine="284"/>
        <w:jc w:val="both"/>
      </w:pPr>
      <w:r>
        <w:rPr>
          <w:b/>
        </w:rPr>
        <w:t xml:space="preserve">Примечания. </w:t>
      </w:r>
      <w:r>
        <w:t xml:space="preserve">1. Для сооружений </w:t>
      </w:r>
      <w:r>
        <w:t>1 и II классов капитальности при расчетах на прочность допускается учитывать реальный возраст бетона к моменту его загружения. 2. Классы капитальности гидротехнических сооружений устанавливаются в соответствии с требованиями главы СНиП II-И. 1-62</w:t>
      </w:r>
      <w:r>
        <w:rPr>
          <w:vertAlign w:val="superscript"/>
        </w:rPr>
        <w:t>*</w:t>
      </w:r>
      <w:r>
        <w:t>. Гидротехнические сооружения речные. Основные п</w:t>
      </w:r>
      <w:r>
        <w:t>о</w:t>
      </w:r>
      <w:r>
        <w:t>ложения проект</w:t>
      </w:r>
      <w:r>
        <w:t>и</w:t>
      </w:r>
      <w:r>
        <w:t>рования.</w:t>
      </w:r>
    </w:p>
    <w:p w:rsidR="00000000" w:rsidRDefault="001A7243">
      <w:pPr>
        <w:ind w:right="2834" w:firstLine="284"/>
        <w:jc w:val="center"/>
      </w:pPr>
    </w:p>
    <w:p w:rsidR="00000000" w:rsidRDefault="001A7243">
      <w:pPr>
        <w:ind w:right="2834" w:firstLine="284"/>
        <w:jc w:val="center"/>
      </w:pPr>
      <w:r>
        <w:t>Таблица 2</w:t>
      </w:r>
    </w:p>
    <w:p w:rsidR="00000000" w:rsidRDefault="001A7243">
      <w:pPr>
        <w:ind w:right="2834" w:firstLine="284"/>
        <w:jc w:val="center"/>
        <w:rPr>
          <w:vertAlign w:val="superscript"/>
        </w:rPr>
      </w:pPr>
      <w:r>
        <w:t>Длительная прочность бетона при растяж</w:t>
      </w:r>
      <w:r>
        <w:t>е</w:t>
      </w:r>
      <w:r>
        <w:t>ния R</w:t>
      </w:r>
      <w:r>
        <w:rPr>
          <w:vertAlign w:val="subscript"/>
        </w:rPr>
        <w:t>p.t</w:t>
      </w:r>
      <w:r>
        <w:t>, кгс/см</w:t>
      </w:r>
      <w:r>
        <w:rPr>
          <w:vertAlign w:val="superscript"/>
        </w:rPr>
        <w:t>2</w:t>
      </w:r>
    </w:p>
    <w:p w:rsidR="00000000" w:rsidRDefault="001A7243">
      <w:pPr>
        <w:ind w:right="2834" w:firstLine="284"/>
        <w:jc w:val="center"/>
        <w:rPr>
          <w:vertAlign w:val="superscript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968"/>
        <w:gridCol w:w="521"/>
        <w:gridCol w:w="585"/>
        <w:gridCol w:w="585"/>
        <w:gridCol w:w="585"/>
        <w:gridCol w:w="513"/>
        <w:gridCol w:w="709"/>
        <w:gridCol w:w="567"/>
        <w:gridCol w:w="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968" w:type="dxa"/>
            <w:tcBorders>
              <w:bottom w:val="nil"/>
            </w:tcBorders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Сочета-</w:t>
            </w: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ние нагру-зок </w:t>
            </w:r>
            <w:r>
              <w:rPr>
                <w:sz w:val="16"/>
              </w:rPr>
              <w:lastRenderedPageBreak/>
              <w:t>и воздей-ствий</w:t>
            </w:r>
          </w:p>
        </w:tc>
        <w:tc>
          <w:tcPr>
            <w:tcW w:w="4773" w:type="dxa"/>
            <w:gridSpan w:val="8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Проектная марка бетона по прочности при сжатии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1A7243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000000" w:rsidRDefault="001A7243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13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09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70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Основ-ное</w:t>
            </w:r>
          </w:p>
        </w:tc>
        <w:tc>
          <w:tcPr>
            <w:tcW w:w="521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513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709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20,2</w:t>
            </w:r>
          </w:p>
        </w:tc>
        <w:tc>
          <w:tcPr>
            <w:tcW w:w="708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  <w:tc>
          <w:tcPr>
            <w:tcW w:w="521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</w:t>
            </w:r>
          </w:p>
        </w:tc>
        <w:tc>
          <w:tcPr>
            <w:tcW w:w="513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21,8</w:t>
            </w:r>
          </w:p>
        </w:tc>
        <w:tc>
          <w:tcPr>
            <w:tcW w:w="709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23,8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70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96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Основ-</w:t>
            </w: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ное</w:t>
            </w:r>
          </w:p>
        </w:tc>
        <w:tc>
          <w:tcPr>
            <w:tcW w:w="521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14,4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513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18,4</w:t>
            </w:r>
          </w:p>
        </w:tc>
        <w:tc>
          <w:tcPr>
            <w:tcW w:w="709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  <w:tc>
          <w:tcPr>
            <w:tcW w:w="708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  <w:tc>
          <w:tcPr>
            <w:tcW w:w="521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13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  <w:tc>
          <w:tcPr>
            <w:tcW w:w="709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70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</w:t>
            </w:r>
          </w:p>
        </w:tc>
        <w:tc>
          <w:tcPr>
            <w:tcW w:w="96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Основ-ное</w:t>
            </w:r>
          </w:p>
        </w:tc>
        <w:tc>
          <w:tcPr>
            <w:tcW w:w="521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9,9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513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20,7</w:t>
            </w:r>
          </w:p>
        </w:tc>
        <w:tc>
          <w:tcPr>
            <w:tcW w:w="709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22,3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21,3</w:t>
            </w:r>
          </w:p>
        </w:tc>
        <w:tc>
          <w:tcPr>
            <w:tcW w:w="708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  <w:tc>
          <w:tcPr>
            <w:tcW w:w="521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13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  <w:tc>
          <w:tcPr>
            <w:tcW w:w="709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70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  <w:p w:rsidR="00000000" w:rsidRDefault="001A7243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Основ-</w:t>
            </w: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ное</w:t>
            </w:r>
          </w:p>
        </w:tc>
        <w:tc>
          <w:tcPr>
            <w:tcW w:w="521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</w:t>
            </w:r>
          </w:p>
        </w:tc>
        <w:tc>
          <w:tcPr>
            <w:tcW w:w="513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21,8</w:t>
            </w:r>
          </w:p>
        </w:tc>
        <w:tc>
          <w:tcPr>
            <w:tcW w:w="709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23,8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708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</w:tcPr>
          <w:p w:rsidR="00000000" w:rsidRDefault="001A7243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  <w:tc>
          <w:tcPr>
            <w:tcW w:w="521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585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13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  <w:tc>
          <w:tcPr>
            <w:tcW w:w="709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567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708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</w:tr>
    </w:tbl>
    <w:p w:rsidR="00000000" w:rsidRDefault="001A7243">
      <w:pPr>
        <w:ind w:firstLine="709"/>
        <w:jc w:val="center"/>
      </w:pPr>
    </w:p>
    <w:p w:rsidR="00000000" w:rsidRDefault="001A7243">
      <w:pPr>
        <w:ind w:right="2834" w:firstLine="284"/>
        <w:jc w:val="both"/>
      </w:pPr>
      <w:r>
        <w:t>2.6. Для определения предельно допустимых напряжений на стадии нор</w:t>
      </w:r>
      <w:r>
        <w:t>мальной эксплуатации при расчете бетонных сооружений в форм</w:t>
      </w:r>
      <w:r>
        <w:t>у</w:t>
      </w:r>
      <w:r>
        <w:t>лы, приведенные в разделах 3 и 4 следует вводить K</w:t>
      </w:r>
      <w:r>
        <w:rPr>
          <w:vertAlign w:val="subscript"/>
        </w:rPr>
        <w:t>p.д</w:t>
      </w:r>
      <w:r>
        <w:t xml:space="preserve"> коэффициент безопасности по длительной прочности бетона, учитывающий ответс</w:t>
      </w:r>
      <w:r>
        <w:t>т</w:t>
      </w:r>
      <w:r>
        <w:t>венность сооружения. Значения коэффициента K</w:t>
      </w:r>
      <w:r>
        <w:rPr>
          <w:vertAlign w:val="subscript"/>
        </w:rPr>
        <w:t xml:space="preserve">p.д </w:t>
      </w:r>
      <w:r>
        <w:t xml:space="preserve"> приведены в табл.3.</w:t>
      </w:r>
    </w:p>
    <w:p w:rsidR="00000000" w:rsidRDefault="001A7243">
      <w:pPr>
        <w:ind w:right="2834" w:firstLine="284"/>
        <w:jc w:val="center"/>
      </w:pPr>
      <w:r>
        <w:t>Таблица 3</w:t>
      </w:r>
    </w:p>
    <w:p w:rsidR="00000000" w:rsidRDefault="001A7243">
      <w:pPr>
        <w:ind w:right="2834" w:firstLine="284"/>
        <w:jc w:val="center"/>
      </w:pPr>
      <w:r>
        <w:t>Коэффициент безопасности по длительной прочности бетона</w:t>
      </w:r>
    </w:p>
    <w:p w:rsidR="00000000" w:rsidRDefault="001A7243">
      <w:pPr>
        <w:ind w:firstLine="709"/>
        <w:jc w:val="center"/>
        <w:rPr>
          <w:sz w:val="28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089"/>
        <w:gridCol w:w="1157"/>
        <w:gridCol w:w="11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капитальности сооружений</w:t>
            </w:r>
          </w:p>
        </w:tc>
        <w:tc>
          <w:tcPr>
            <w:tcW w:w="2082" w:type="dxa"/>
            <w:gridSpan w:val="2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2313" w:type="dxa"/>
            <w:gridSpan w:val="2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II, III, IV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Сочетание нагрузок и воздействий</w:t>
            </w:r>
          </w:p>
        </w:tc>
        <w:tc>
          <w:tcPr>
            <w:tcW w:w="993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</w:t>
            </w:r>
          </w:p>
        </w:tc>
        <w:tc>
          <w:tcPr>
            <w:tcW w:w="1089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  <w:tc>
          <w:tcPr>
            <w:tcW w:w="1157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</w:t>
            </w:r>
          </w:p>
        </w:tc>
        <w:tc>
          <w:tcPr>
            <w:tcW w:w="1156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К</w:t>
            </w:r>
            <w:r>
              <w:rPr>
                <w:sz w:val="16"/>
                <w:vertAlign w:val="subscript"/>
              </w:rPr>
              <w:sym w:font="Symbol" w:char="F064"/>
            </w:r>
            <w:r>
              <w:rPr>
                <w:sz w:val="16"/>
              </w:rPr>
              <w:t>.д</w:t>
            </w:r>
          </w:p>
        </w:tc>
        <w:tc>
          <w:tcPr>
            <w:tcW w:w="993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89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157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6" w:type="dxa"/>
          </w:tcPr>
          <w:p w:rsidR="00000000" w:rsidRDefault="001A72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</w:tbl>
    <w:p w:rsidR="00000000" w:rsidRDefault="001A7243">
      <w:pPr>
        <w:ind w:firstLine="709"/>
        <w:jc w:val="center"/>
      </w:pPr>
    </w:p>
    <w:p w:rsidR="00000000" w:rsidRDefault="001A7243">
      <w:pPr>
        <w:ind w:right="2834" w:firstLine="284"/>
        <w:jc w:val="both"/>
      </w:pPr>
      <w:r>
        <w:t>Примечание. Коэффициенты К</w:t>
      </w:r>
      <w:r>
        <w:rPr>
          <w:vertAlign w:val="subscript"/>
        </w:rPr>
        <w:sym w:font="Symbol" w:char="F064"/>
      </w:r>
      <w:r>
        <w:rPr>
          <w:vertAlign w:val="subscript"/>
        </w:rPr>
        <w:t>.д</w:t>
      </w:r>
      <w:r>
        <w:t xml:space="preserve"> при учете</w:t>
      </w:r>
      <w:r>
        <w:t xml:space="preserve"> сил, действующих во время строительства, испытаний и ремонта сооружений применяются равными среднеарифметическому между значениями коэффициентов для основных и особых сочетаний нагрузок и воздействий. При учете особых сочетаний в строительный и ремонтный период коэффициенты К</w:t>
      </w:r>
      <w:r>
        <w:rPr>
          <w:vertAlign w:val="subscript"/>
        </w:rPr>
        <w:t>б.д</w:t>
      </w:r>
      <w:r>
        <w:t xml:space="preserve"> пр</w:t>
      </w:r>
      <w:r>
        <w:t>и</w:t>
      </w:r>
      <w:r>
        <w:t>нимаются по графе особых сочетаний нагрузок и воздействий.</w:t>
      </w:r>
    </w:p>
    <w:p w:rsidR="00000000" w:rsidRDefault="001A7243">
      <w:pPr>
        <w:ind w:right="2834" w:firstLine="284"/>
        <w:jc w:val="both"/>
      </w:pPr>
    </w:p>
    <w:p w:rsidR="00000000" w:rsidRDefault="001A7243">
      <w:pPr>
        <w:spacing w:line="360" w:lineRule="auto"/>
        <w:ind w:right="2834" w:firstLine="284"/>
        <w:jc w:val="both"/>
      </w:pPr>
      <w:r>
        <w:t>2.7. Расчеты бетонных сооружений на прочность и по образованию трещин должны производиться с учетом вида сложного напряженного состояния бетона и с использованием разли</w:t>
      </w:r>
      <w:r>
        <w:t>чных критериев прочности по зонам сооружения.</w:t>
      </w:r>
    </w:p>
    <w:p w:rsidR="00000000" w:rsidRDefault="001A7243">
      <w:pPr>
        <w:ind w:right="2834" w:firstLine="284"/>
        <w:jc w:val="center"/>
        <w:rPr>
          <w:b/>
        </w:rPr>
      </w:pPr>
      <w:r>
        <w:rPr>
          <w:b/>
        </w:rPr>
        <w:t>3. РАСЧЕТ ЭЛЕМЕНТОВ БЕТОННЫХ СООРУЖЕНИЙ</w:t>
      </w:r>
    </w:p>
    <w:p w:rsidR="00000000" w:rsidRDefault="001A7243">
      <w:pPr>
        <w:ind w:right="2834" w:firstLine="284"/>
        <w:jc w:val="center"/>
        <w:rPr>
          <w:b/>
        </w:rPr>
      </w:pPr>
      <w:r>
        <w:rPr>
          <w:b/>
        </w:rPr>
        <w:t>ПО ПРОЧНОСТИ</w:t>
      </w:r>
    </w:p>
    <w:p w:rsidR="00000000" w:rsidRDefault="001A7243">
      <w:pPr>
        <w:ind w:right="2834" w:firstLine="284"/>
        <w:jc w:val="both"/>
      </w:pPr>
      <w:r>
        <w:t>3.1. Прочность бетонных элементов, определяемая сопротивлением основному сжатию, должна удовлетворять следующему условию:</w:t>
      </w:r>
    </w:p>
    <w:p w:rsidR="00000000" w:rsidRDefault="001A7243">
      <w:pPr>
        <w:ind w:right="2834" w:firstLine="284"/>
        <w:jc w:val="center"/>
      </w:pPr>
      <w:r>
        <w:rPr>
          <w:position w:val="-28"/>
        </w:rPr>
        <w:object w:dxaOrig="1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pt" o:ole="">
            <v:imagedata r:id="rId5" o:title=""/>
          </v:shape>
          <o:OLEObject Type="Embed" ProgID="Equation.2" ShapeID="_x0000_i1025" DrawAspect="Content" ObjectID="_1427195352" r:id="rId6"/>
        </w:object>
      </w:r>
      <w:r>
        <w:t xml:space="preserve">                                        (1)</w:t>
      </w:r>
    </w:p>
    <w:p w:rsidR="00000000" w:rsidRDefault="001A7243">
      <w:pPr>
        <w:ind w:right="2834" w:firstLine="284"/>
        <w:jc w:val="both"/>
      </w:pPr>
      <w:r>
        <w:t xml:space="preserve">где </w:t>
      </w:r>
      <w:r>
        <w:sym w:font="Symbol" w:char="F073"/>
      </w:r>
      <w:r>
        <w:rPr>
          <w:vertAlign w:val="subscript"/>
        </w:rPr>
        <w:t>3</w:t>
      </w:r>
      <w:r>
        <w:t xml:space="preserve"> - предельно допустимые напряжения из стадии нормальной экспл</w:t>
      </w:r>
      <w:r>
        <w:t>у</w:t>
      </w:r>
      <w:r>
        <w:t>атации сооружения.</w:t>
      </w:r>
    </w:p>
    <w:p w:rsidR="00000000" w:rsidRDefault="001A7243" w:rsidP="001A7243">
      <w:pPr>
        <w:numPr>
          <w:ilvl w:val="0"/>
          <w:numId w:val="1"/>
        </w:numPr>
        <w:spacing w:line="360" w:lineRule="auto"/>
        <w:ind w:left="0" w:right="2834" w:firstLine="284"/>
        <w:jc w:val="both"/>
      </w:pPr>
      <w:r>
        <w:t xml:space="preserve">При расчете центрально сжатых бетонных элементов необхлдимо учитывать продольный изгиб, когда гибкость их </w:t>
      </w:r>
      <w:r>
        <w:sym w:font="Symbol" w:char="F06C"/>
      </w:r>
      <w:r>
        <w:t xml:space="preserve"> (т. е. отношение ра</w:t>
      </w:r>
      <w:r>
        <w:t>с</w:t>
      </w:r>
      <w:r>
        <w:t>четной дл</w:t>
      </w:r>
      <w:r>
        <w:t xml:space="preserve">ины элемента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 xml:space="preserve">o </w:t>
      </w:r>
      <w:r>
        <w:t xml:space="preserve">к минимальному радиусу инерции </w:t>
      </w:r>
      <w:r>
        <w:rPr>
          <w:i/>
          <w:lang w:val="en-US"/>
        </w:rPr>
        <w:t xml:space="preserve">r </w:t>
      </w:r>
      <w:r>
        <w:t>сечения), больше или равна 14 . В этом случае расчет ведется по формуле:</w:t>
      </w:r>
    </w:p>
    <w:p w:rsidR="00000000" w:rsidRDefault="001A7243">
      <w:pPr>
        <w:ind w:right="2834" w:firstLine="284"/>
        <w:jc w:val="center"/>
      </w:pPr>
      <w:r>
        <w:rPr>
          <w:position w:val="-10"/>
        </w:rPr>
        <w:object w:dxaOrig="180" w:dyaOrig="320">
          <v:shape id="_x0000_i1026" type="#_x0000_t75" style="width:9pt;height:15.75pt" o:ole="">
            <v:imagedata r:id="rId7" o:title=""/>
          </v:shape>
          <o:OLEObject Type="Embed" ProgID="Equation.2" ShapeID="_x0000_i1026" DrawAspect="Content" ObjectID="_1427195353" r:id="rId8"/>
        </w:object>
      </w:r>
      <w:r>
        <w:rPr>
          <w:position w:val="-28"/>
        </w:rPr>
        <w:object w:dxaOrig="1719" w:dyaOrig="680">
          <v:shape id="_x0000_i1027" type="#_x0000_t75" style="width:86.25pt;height:33.75pt" o:ole="">
            <v:imagedata r:id="rId9" o:title=""/>
          </v:shape>
          <o:OLEObject Type="Embed" ProgID="Equation.2" ShapeID="_x0000_i1027" DrawAspect="Content" ObjectID="_1427195354" r:id="rId10"/>
        </w:object>
      </w:r>
      <w:r>
        <w:t xml:space="preserve">                                        (2)</w:t>
      </w:r>
    </w:p>
    <w:p w:rsidR="00000000" w:rsidRDefault="001A7243">
      <w:pPr>
        <w:spacing w:line="360" w:lineRule="auto"/>
        <w:ind w:right="2834" w:firstLine="284"/>
        <w:jc w:val="both"/>
      </w:pPr>
      <w:r>
        <w:t xml:space="preserve">где </w:t>
      </w:r>
      <w:r>
        <w:sym w:font="Symbol" w:char="F06A"/>
      </w:r>
      <w:r>
        <w:t xml:space="preserve"> - коэффициент продольного изгиба, принимаемый по таблице 17 п. 6.1 главы СНиП </w:t>
      </w:r>
      <w:r>
        <w:rPr>
          <w:lang w:val="en-US"/>
        </w:rPr>
        <w:t>II-</w:t>
      </w:r>
      <w:r>
        <w:t>И 14-69.</w:t>
      </w:r>
    </w:p>
    <w:p w:rsidR="00000000" w:rsidRDefault="001A7243">
      <w:pPr>
        <w:spacing w:line="360" w:lineRule="auto"/>
        <w:ind w:right="2834" w:firstLine="284"/>
        <w:jc w:val="both"/>
      </w:pPr>
      <w:r>
        <w:t xml:space="preserve">Примечание : Расчетная длина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o</w:t>
      </w:r>
      <w:r>
        <w:rPr>
          <w:i/>
          <w:vertAlign w:val="subscript"/>
        </w:rPr>
        <w:t xml:space="preserve"> </w:t>
      </w:r>
      <w:r>
        <w:t xml:space="preserve"> принимается в соответствии с тр</w:t>
      </w:r>
      <w:r>
        <w:t>е</w:t>
      </w:r>
      <w:r>
        <w:t xml:space="preserve">бованиями п.6.2 главы СНиП </w:t>
      </w:r>
      <w:r>
        <w:rPr>
          <w:lang w:val="en-US"/>
        </w:rPr>
        <w:t>II-</w:t>
      </w:r>
      <w:r>
        <w:t>И 14-69.</w:t>
      </w:r>
    </w:p>
    <w:p w:rsidR="00000000" w:rsidRDefault="001A7243" w:rsidP="001A7243">
      <w:pPr>
        <w:numPr>
          <w:ilvl w:val="0"/>
          <w:numId w:val="2"/>
        </w:numPr>
        <w:spacing w:line="360" w:lineRule="auto"/>
        <w:ind w:left="0" w:right="2834" w:firstLine="284"/>
        <w:jc w:val="both"/>
      </w:pPr>
      <w:r>
        <w:t>Определение прочности внецентренно сжатых бетонных сечений, в которых согласно п. 2.2 не учитывается</w:t>
      </w:r>
      <w:r>
        <w:t xml:space="preserve"> сопротивление растянутой з</w:t>
      </w:r>
      <w:r>
        <w:t>о</w:t>
      </w:r>
      <w:r>
        <w:t>ны, производится по результатам сравнения величин наибольших гла</w:t>
      </w:r>
      <w:r>
        <w:t>в</w:t>
      </w:r>
      <w:r>
        <w:t>ных сжимающих напряжений с величиной длительной прочности бетона при сжатии; при этом должно быть соблюдено условие (1).</w:t>
      </w:r>
    </w:p>
    <w:p w:rsidR="00000000" w:rsidRDefault="001A7243">
      <w:pPr>
        <w:spacing w:line="360" w:lineRule="auto"/>
        <w:ind w:right="2834" w:firstLine="284"/>
        <w:jc w:val="both"/>
      </w:pPr>
      <w:r>
        <w:t>Во всех случаях проектирования напорных бетонных сооружений, рассчитываемых как с учетом, так и без учета работы растянутой зоны бетона, необходимо учитывать в расчетном сечении элемента силы пр</w:t>
      </w:r>
      <w:r>
        <w:t>о</w:t>
      </w:r>
      <w:r>
        <w:t xml:space="preserve">тиводавления воды, определяемые в соответствии с требованиями пп. 4.12, 4.13, 4.14 главы СНиП </w:t>
      </w:r>
      <w:r>
        <w:rPr>
          <w:lang w:val="en-US"/>
        </w:rPr>
        <w:t>II-</w:t>
      </w:r>
      <w:r>
        <w:t>И 14-6</w:t>
      </w:r>
      <w:r>
        <w:t>9.</w:t>
      </w:r>
    </w:p>
    <w:p w:rsidR="00000000" w:rsidRDefault="001A7243">
      <w:pPr>
        <w:spacing w:line="360" w:lineRule="auto"/>
        <w:ind w:right="2834"/>
        <w:jc w:val="center"/>
      </w:pPr>
      <w:r>
        <w:t>Плоское напряженное состояние</w:t>
      </w:r>
    </w:p>
    <w:p w:rsidR="00000000" w:rsidRDefault="001A7243" w:rsidP="001A7243">
      <w:pPr>
        <w:numPr>
          <w:ilvl w:val="0"/>
          <w:numId w:val="3"/>
        </w:numPr>
        <w:spacing w:line="360" w:lineRule="auto"/>
        <w:ind w:left="0" w:right="2834" w:firstLine="284"/>
        <w:jc w:val="both"/>
      </w:pPr>
      <w:r>
        <w:t>Бетонные элементы, материал которых испытывает двухосное сж</w:t>
      </w:r>
      <w:r>
        <w:t>а</w:t>
      </w:r>
      <w:r>
        <w:t>тие, рассчитываются по формуле:</w:t>
      </w:r>
    </w:p>
    <w:p w:rsidR="00000000" w:rsidRDefault="001A7243">
      <w:pPr>
        <w:ind w:right="2834" w:firstLine="284"/>
        <w:jc w:val="center"/>
      </w:pPr>
      <w:r>
        <w:rPr>
          <w:position w:val="-10"/>
        </w:rPr>
        <w:object w:dxaOrig="180" w:dyaOrig="320">
          <v:shape id="_x0000_i1028" type="#_x0000_t75" style="width:9pt;height:15.75pt" o:ole="">
            <v:imagedata r:id="rId7" o:title=""/>
          </v:shape>
          <o:OLEObject Type="Embed" ProgID="Equation.2" ShapeID="_x0000_i1028" DrawAspect="Content" ObjectID="_1427195355" r:id="rId11"/>
        </w:object>
      </w:r>
      <w:r>
        <w:rPr>
          <w:position w:val="-28"/>
        </w:rPr>
        <w:object w:dxaOrig="2160" w:dyaOrig="720">
          <v:shape id="_x0000_i1029" type="#_x0000_t75" style="width:108pt;height:36pt" o:ole="">
            <v:imagedata r:id="rId12" o:title=""/>
          </v:shape>
          <o:OLEObject Type="Embed" ProgID="Equation.2" ShapeID="_x0000_i1029" DrawAspect="Content" ObjectID="_1427195356" r:id="rId13"/>
        </w:object>
      </w:r>
      <w:r>
        <w:t xml:space="preserve">                                        (3)</w:t>
      </w:r>
    </w:p>
    <w:p w:rsidR="00000000" w:rsidRDefault="001A7243">
      <w:pPr>
        <w:spacing w:line="360" w:lineRule="auto"/>
        <w:ind w:right="2834"/>
        <w:jc w:val="both"/>
      </w:pPr>
      <w:r>
        <w:t xml:space="preserve">где </w:t>
      </w:r>
      <w:r>
        <w:sym w:font="Symbol" w:char="F07C"/>
      </w:r>
      <w:r>
        <w:sym w:font="Symbol" w:char="F073"/>
      </w:r>
      <w:r>
        <w:rPr>
          <w:vertAlign w:val="subscript"/>
        </w:rPr>
        <w:t>2</w:t>
      </w:r>
      <w:r>
        <w:sym w:font="Symbol" w:char="F07C"/>
      </w:r>
      <w:r>
        <w:t xml:space="preserve"> - абсолютное значение среднего главного напряжения; а - эмп</w:t>
      </w:r>
      <w:r>
        <w:t>и</w:t>
      </w:r>
      <w:r>
        <w:t>рический коэффициент, определяемый по указаниям п. 3.7.</w:t>
      </w:r>
    </w:p>
    <w:p w:rsidR="00000000" w:rsidRDefault="001A7243">
      <w:pPr>
        <w:spacing w:line="360" w:lineRule="auto"/>
        <w:ind w:left="284" w:right="2834"/>
        <w:jc w:val="center"/>
      </w:pPr>
      <w:r>
        <w:t>Объемное напряженное состояние</w:t>
      </w:r>
    </w:p>
    <w:p w:rsidR="00000000" w:rsidRDefault="001A7243" w:rsidP="001A7243">
      <w:pPr>
        <w:numPr>
          <w:ilvl w:val="0"/>
          <w:numId w:val="4"/>
        </w:numPr>
        <w:spacing w:line="360" w:lineRule="auto"/>
        <w:ind w:left="0" w:right="2834" w:firstLine="284"/>
        <w:jc w:val="both"/>
      </w:pPr>
      <w:r>
        <w:t>Бетонные элементы, материал которых испытывает трехосное сж</w:t>
      </w:r>
      <w:r>
        <w:t>а</w:t>
      </w:r>
      <w:r>
        <w:t>тие, рассчитываются по формуле:</w:t>
      </w:r>
    </w:p>
    <w:p w:rsidR="00000000" w:rsidRDefault="001A7243">
      <w:pPr>
        <w:ind w:right="2834" w:firstLine="284"/>
        <w:jc w:val="center"/>
      </w:pPr>
      <w:r>
        <w:rPr>
          <w:position w:val="-10"/>
        </w:rPr>
        <w:object w:dxaOrig="180" w:dyaOrig="320">
          <v:shape id="_x0000_i1030" type="#_x0000_t75" style="width:9pt;height:15.75pt" o:ole="">
            <v:imagedata r:id="rId7" o:title=""/>
          </v:shape>
          <o:OLEObject Type="Embed" ProgID="Equation.2" ShapeID="_x0000_i1030" DrawAspect="Content" ObjectID="_1427195357" r:id="rId14"/>
        </w:object>
      </w:r>
      <w:r>
        <w:rPr>
          <w:position w:val="-28"/>
        </w:rPr>
        <w:object w:dxaOrig="3420" w:dyaOrig="720">
          <v:shape id="_x0000_i1031" type="#_x0000_t75" style="width:171pt;height:36pt" o:ole="">
            <v:imagedata r:id="rId15" o:title=""/>
          </v:shape>
          <o:OLEObject Type="Embed" ProgID="Equation.2" ShapeID="_x0000_i1031" DrawAspect="Content" ObjectID="_1427195358" r:id="rId16"/>
        </w:object>
      </w:r>
      <w:r>
        <w:t xml:space="preserve">   </w:t>
      </w:r>
      <w:r>
        <w:t xml:space="preserve">                 (4)</w:t>
      </w:r>
    </w:p>
    <w:p w:rsidR="00000000" w:rsidRDefault="001A7243">
      <w:pPr>
        <w:spacing w:line="360" w:lineRule="auto"/>
        <w:ind w:right="2834" w:firstLine="284"/>
        <w:jc w:val="both"/>
      </w:pPr>
      <w:r>
        <w:t xml:space="preserve">где </w:t>
      </w:r>
      <w:r>
        <w:sym w:font="Symbol" w:char="F0BD"/>
      </w:r>
      <w:r>
        <w:sym w:font="Symbol" w:char="F073"/>
      </w:r>
      <w:r>
        <w:rPr>
          <w:vertAlign w:val="subscript"/>
        </w:rPr>
        <w:t>1</w:t>
      </w:r>
      <w:r>
        <w:sym w:font="Symbol" w:char="F0EF"/>
      </w:r>
      <w:r>
        <w:t>- абсолютное значение наибольшего главного напряжения</w:t>
      </w:r>
      <w:r>
        <w:rPr>
          <w:lang w:val="en-US"/>
        </w:rPr>
        <w:t xml:space="preserve">, </w:t>
      </w:r>
      <w:r>
        <w:t xml:space="preserve">устанавливаемое с учетом указаний п. 4.1; </w:t>
      </w:r>
      <w:r>
        <w:rPr>
          <w:lang w:val="en-US"/>
        </w:rPr>
        <w:t>b</w:t>
      </w:r>
      <w:r>
        <w:t xml:space="preserve"> - эмпирический коэффиц</w:t>
      </w:r>
      <w:r>
        <w:t>и</w:t>
      </w:r>
      <w:r>
        <w:t>ент, определяемый по указаниям п. 3.7.</w:t>
      </w:r>
    </w:p>
    <w:p w:rsidR="00000000" w:rsidRDefault="001A7243" w:rsidP="001A7243">
      <w:pPr>
        <w:numPr>
          <w:ilvl w:val="0"/>
          <w:numId w:val="5"/>
        </w:numPr>
        <w:spacing w:line="360" w:lineRule="auto"/>
        <w:ind w:left="0" w:right="2834" w:firstLine="284"/>
        <w:jc w:val="both"/>
      </w:pPr>
      <w:r>
        <w:t xml:space="preserve">Величины коэффициентов а и </w:t>
      </w:r>
      <w:r>
        <w:rPr>
          <w:lang w:val="en-US"/>
        </w:rPr>
        <w:t>b</w:t>
      </w:r>
      <w:r>
        <w:t xml:space="preserve"> в формулах (3) и (4) должны быть определены специальными исследованиями на бетоне конкретного для проектируемого сооружения состава. Для прикидочных расчетов их зн</w:t>
      </w:r>
      <w:r>
        <w:t>а</w:t>
      </w:r>
      <w:r>
        <w:t xml:space="preserve">чение может быть принято равным: </w:t>
      </w:r>
    </w:p>
    <w:p w:rsidR="00000000" w:rsidRDefault="001A7243">
      <w:pPr>
        <w:spacing w:line="360" w:lineRule="auto"/>
        <w:ind w:left="284" w:right="2834"/>
        <w:jc w:val="center"/>
      </w:pPr>
      <w:r>
        <w:t>а=0,1</w:t>
      </w:r>
      <w:r>
        <w:tab/>
      </w:r>
      <w:r>
        <w:tab/>
      </w:r>
      <w:r>
        <w:rPr>
          <w:lang w:val="en-US"/>
        </w:rPr>
        <w:t>b=2,5</w:t>
      </w:r>
    </w:p>
    <w:p w:rsidR="00000000" w:rsidRDefault="001A7243">
      <w:pPr>
        <w:spacing w:line="360" w:lineRule="auto"/>
        <w:ind w:right="2834" w:firstLine="284"/>
        <w:jc w:val="center"/>
        <w:rPr>
          <w:b/>
        </w:rPr>
      </w:pPr>
      <w:r>
        <w:rPr>
          <w:b/>
        </w:rPr>
        <w:t>4.РАСЧЕТ ЭЛЕМЕНТОВ БЕТОННЫХ СООРУЖЕНИЙ ПО ОБРАЗОВАНИЮ ТРЕЩИН</w:t>
      </w:r>
    </w:p>
    <w:p w:rsidR="00000000" w:rsidRDefault="001A7243" w:rsidP="001A7243">
      <w:pPr>
        <w:numPr>
          <w:ilvl w:val="0"/>
          <w:numId w:val="6"/>
        </w:numPr>
        <w:spacing w:line="360" w:lineRule="auto"/>
        <w:ind w:left="0" w:right="2834" w:firstLine="284"/>
        <w:jc w:val="both"/>
      </w:pPr>
      <w:r>
        <w:t>Трещиностойкость бето</w:t>
      </w:r>
      <w:r>
        <w:t>нных элементов, материал которых исп</w:t>
      </w:r>
      <w:r>
        <w:t>ы</w:t>
      </w:r>
      <w:r>
        <w:t>тывает осевое или двухосное растяжение, определяется длительной прочностью бетона на растяжение и должна удовлетворять следующему усл</w:t>
      </w:r>
      <w:r>
        <w:t>о</w:t>
      </w:r>
      <w:r>
        <w:t xml:space="preserve">вию: </w:t>
      </w:r>
    </w:p>
    <w:p w:rsidR="00000000" w:rsidRDefault="001A7243">
      <w:pPr>
        <w:ind w:right="2834" w:firstLine="284"/>
        <w:jc w:val="center"/>
      </w:pPr>
      <w:r>
        <w:rPr>
          <w:position w:val="-10"/>
        </w:rPr>
        <w:object w:dxaOrig="180" w:dyaOrig="320">
          <v:shape id="_x0000_i1032" type="#_x0000_t75" style="width:9pt;height:15.75pt" o:ole="">
            <v:imagedata r:id="rId7" o:title=""/>
          </v:shape>
          <o:OLEObject Type="Embed" ProgID="Equation.2" ShapeID="_x0000_i1032" DrawAspect="Content" ObjectID="_1427195359" r:id="rId17"/>
        </w:object>
      </w:r>
      <w:r>
        <w:rPr>
          <w:position w:val="-28"/>
        </w:rPr>
        <w:object w:dxaOrig="1480" w:dyaOrig="700">
          <v:shape id="_x0000_i1033" type="#_x0000_t75" style="width:83.25pt;height:35.25pt" o:ole="">
            <v:imagedata r:id="rId18" o:title=""/>
          </v:shape>
          <o:OLEObject Type="Embed" ProgID="Equation.2" ShapeID="_x0000_i1033" DrawAspect="Content" ObjectID="_1427195360" r:id="rId19"/>
        </w:object>
      </w:r>
      <w:r>
        <w:t xml:space="preserve">                                        (5)</w:t>
      </w:r>
    </w:p>
    <w:p w:rsidR="00000000" w:rsidRDefault="001A7243" w:rsidP="001A7243">
      <w:pPr>
        <w:numPr>
          <w:ilvl w:val="0"/>
          <w:numId w:val="7"/>
        </w:numPr>
        <w:spacing w:line="360" w:lineRule="auto"/>
        <w:ind w:left="0" w:right="2834" w:firstLine="284"/>
        <w:jc w:val="both"/>
      </w:pPr>
      <w:r>
        <w:t>Трещиностойкость бетонных элементов, материал которых исп</w:t>
      </w:r>
      <w:r>
        <w:t>ы</w:t>
      </w:r>
      <w:r>
        <w:t>тывает плоское напряженное состояние вида растяжение-сжатие, дол</w:t>
      </w:r>
      <w:r>
        <w:t>ж</w:t>
      </w:r>
      <w:r>
        <w:t>на определяться следующим условием:</w:t>
      </w:r>
    </w:p>
    <w:p w:rsidR="00000000" w:rsidRDefault="001A7243">
      <w:pPr>
        <w:ind w:right="2834" w:firstLine="284"/>
        <w:jc w:val="center"/>
      </w:pPr>
      <w:r>
        <w:rPr>
          <w:position w:val="-10"/>
        </w:rPr>
        <w:object w:dxaOrig="180" w:dyaOrig="320">
          <v:shape id="_x0000_i1034" type="#_x0000_t75" style="width:9pt;height:15.75pt" o:ole="">
            <v:imagedata r:id="rId7" o:title=""/>
          </v:shape>
          <o:OLEObject Type="Embed" ProgID="Equation.2" ShapeID="_x0000_i1034" DrawAspect="Content" ObjectID="_1427195361" r:id="rId20"/>
        </w:object>
      </w:r>
      <w:r>
        <w:rPr>
          <w:position w:val="-28"/>
        </w:rPr>
        <w:object w:dxaOrig="2500" w:dyaOrig="720">
          <v:shape id="_x0000_i1035" type="#_x0000_t75" style="width:127.5pt;height:36pt" o:ole="">
            <v:imagedata r:id="rId21" o:title=""/>
          </v:shape>
          <o:OLEObject Type="Embed" ProgID="Equation.2" ShapeID="_x0000_i1035" DrawAspect="Content" ObjectID="_1427195362" r:id="rId22"/>
        </w:object>
      </w:r>
      <w:r>
        <w:t xml:space="preserve">                                        </w:t>
      </w:r>
      <w:r>
        <w:t>(6)</w:t>
      </w:r>
    </w:p>
    <w:p w:rsidR="00000000" w:rsidRDefault="001A7243" w:rsidP="001A7243">
      <w:pPr>
        <w:numPr>
          <w:ilvl w:val="0"/>
          <w:numId w:val="8"/>
        </w:numPr>
        <w:spacing w:line="360" w:lineRule="auto"/>
        <w:ind w:left="0" w:right="2834" w:firstLine="284"/>
        <w:jc w:val="both"/>
      </w:pPr>
      <w:r>
        <w:t>Трещиностойкость бетонных элементов, материал которых исп</w:t>
      </w:r>
      <w:r>
        <w:t>ы</w:t>
      </w:r>
      <w:r>
        <w:t>тывает объемное напряженное состояние вида растяжение плюс два сжатия, рассчитывается с соблюдением условия:</w:t>
      </w:r>
    </w:p>
    <w:p w:rsidR="00000000" w:rsidRDefault="001A7243">
      <w:pPr>
        <w:ind w:right="2834" w:firstLine="284"/>
        <w:jc w:val="center"/>
      </w:pPr>
      <w:r>
        <w:rPr>
          <w:position w:val="-30"/>
        </w:rPr>
        <w:object w:dxaOrig="4260" w:dyaOrig="720">
          <v:shape id="_x0000_i1036" type="#_x0000_t75" style="width:194.25pt;height:36pt" o:ole="">
            <v:imagedata r:id="rId23" o:title=""/>
          </v:shape>
          <o:OLEObject Type="Embed" ProgID="Equation.2" ShapeID="_x0000_i1036" DrawAspect="Content" ObjectID="_1427195363" r:id="rId24"/>
        </w:object>
      </w:r>
      <w:r>
        <w:t xml:space="preserve">                  (7)</w:t>
      </w:r>
    </w:p>
    <w:p w:rsidR="00000000" w:rsidRDefault="001A7243" w:rsidP="001A7243">
      <w:pPr>
        <w:numPr>
          <w:ilvl w:val="0"/>
          <w:numId w:val="9"/>
        </w:numPr>
        <w:spacing w:line="360" w:lineRule="auto"/>
        <w:ind w:left="0" w:right="2834" w:firstLine="284"/>
        <w:jc w:val="both"/>
      </w:pPr>
      <w:r>
        <w:t>Трещиностойкость бетонных элементов, материал которых исп</w:t>
      </w:r>
      <w:r>
        <w:t>ы</w:t>
      </w:r>
      <w:r>
        <w:t>тывает объемное напряженное состояние вида два растяжения плюс сжатие, рассчитывается с соблюдением условия (6).</w:t>
      </w:r>
    </w:p>
    <w:p w:rsidR="00000000" w:rsidRDefault="001A7243" w:rsidP="001A7243">
      <w:pPr>
        <w:numPr>
          <w:ilvl w:val="0"/>
          <w:numId w:val="10"/>
        </w:numPr>
        <w:spacing w:line="360" w:lineRule="auto"/>
        <w:ind w:left="0" w:right="2834" w:firstLine="284"/>
        <w:jc w:val="both"/>
      </w:pPr>
      <w:r>
        <w:t>В случаях, когда по одной из главных площадок действует раст</w:t>
      </w:r>
      <w:r>
        <w:t>я</w:t>
      </w:r>
      <w:r>
        <w:t>гивающее напряжение и условия трещиностойкости (см. Формулы 5, 6</w:t>
      </w:r>
      <w:r>
        <w:t>, 7) не выполняются, и сооружении должны быть предусмотрены спец</w:t>
      </w:r>
      <w:r>
        <w:t>и</w:t>
      </w:r>
      <w:r>
        <w:t>альные конструктивные мероприятия (швы-надрезы, периметральный шов, армирование и т.п.).</w:t>
      </w:r>
    </w:p>
    <w:p w:rsidR="00000000" w:rsidRDefault="001A7243">
      <w:pPr>
        <w:spacing w:line="360" w:lineRule="auto"/>
        <w:ind w:right="2834" w:firstLine="284"/>
        <w:jc w:val="both"/>
      </w:pPr>
      <w:r>
        <w:t xml:space="preserve">Примечание. Величины </w:t>
      </w:r>
      <w:r>
        <w:rPr>
          <w:lang w:val="en-US"/>
        </w:rPr>
        <w:t>R</w:t>
      </w:r>
      <w:r>
        <w:rPr>
          <w:vertAlign w:val="subscript"/>
          <w:lang w:val="en-US"/>
        </w:rPr>
        <w:t>p.</w:t>
      </w:r>
      <w:r>
        <w:rPr>
          <w:vertAlign w:val="subscript"/>
        </w:rPr>
        <w:t>т</w:t>
      </w:r>
      <w:r>
        <w:rPr>
          <w:vertAlign w:val="subscript"/>
          <w:lang w:val="en-US"/>
        </w:rPr>
        <w:t>.</w:t>
      </w:r>
      <w:r>
        <w:t>в сечениях, совпадающих со швами б</w:t>
      </w:r>
      <w:r>
        <w:t>е</w:t>
      </w:r>
      <w:r>
        <w:t xml:space="preserve">тонирования, следует принимать равными </w:t>
      </w:r>
      <w:r>
        <w:rPr>
          <w:position w:val="-22"/>
        </w:rPr>
        <w:object w:dxaOrig="499" w:dyaOrig="620">
          <v:shape id="_x0000_i1037" type="#_x0000_t75" style="width:24.75pt;height:30.75pt" o:ole="">
            <v:imagedata r:id="rId25" o:title=""/>
          </v:shape>
          <o:OLEObject Type="Embed" ProgID="Equation.2" ShapeID="_x0000_i1037" DrawAspect="Content" ObjectID="_1427195364" r:id="rId26"/>
        </w:object>
      </w:r>
      <w:r>
        <w:t>или определять спец</w:t>
      </w:r>
      <w:r>
        <w:t>и</w:t>
      </w:r>
      <w:r>
        <w:t>ал</w:t>
      </w:r>
      <w:r>
        <w:t>ь</w:t>
      </w:r>
      <w:r>
        <w:t>ными экспериментами на образцах сечением не менее 0,5 х 0,5 м.</w:t>
      </w:r>
    </w:p>
    <w:p w:rsidR="00000000" w:rsidRDefault="001A7243">
      <w:pPr>
        <w:spacing w:line="360" w:lineRule="auto"/>
        <w:ind w:right="2834" w:firstLine="284"/>
        <w:jc w:val="center"/>
      </w:pPr>
      <w:r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1A7243">
            <w:pPr>
              <w:spacing w:line="360" w:lineRule="auto"/>
              <w:ind w:right="2834"/>
              <w:jc w:val="both"/>
            </w:pPr>
            <w:r>
              <w:t>1.Общие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1A7243">
            <w:pPr>
              <w:spacing w:line="360" w:lineRule="auto"/>
              <w:ind w:right="2834"/>
              <w:jc w:val="both"/>
            </w:pPr>
            <w:r>
              <w:t>2.Основные расчетные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1A7243">
            <w:pPr>
              <w:spacing w:line="360" w:lineRule="auto"/>
              <w:ind w:right="33"/>
              <w:jc w:val="both"/>
            </w:pPr>
            <w:r>
              <w:t>3.Расчет элементов бетонных соор</w:t>
            </w:r>
            <w:r>
              <w:t>у</w:t>
            </w:r>
            <w:r>
              <w:t>жений по прочности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1A7243">
            <w:pPr>
              <w:spacing w:line="360" w:lineRule="auto"/>
              <w:ind w:right="2834" w:firstLine="284"/>
              <w:jc w:val="both"/>
            </w:pPr>
            <w:r>
              <w:t>Линейное напряженное состояние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1A7243">
            <w:pPr>
              <w:spacing w:line="360" w:lineRule="auto"/>
              <w:ind w:right="2834" w:firstLine="284"/>
              <w:jc w:val="both"/>
            </w:pPr>
            <w:r>
              <w:t>Пл</w:t>
            </w:r>
            <w:r>
              <w:t>оское напряженное состояние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1A7243">
            <w:pPr>
              <w:spacing w:line="360" w:lineRule="auto"/>
              <w:ind w:right="2834" w:firstLine="284"/>
              <w:jc w:val="both"/>
            </w:pPr>
            <w:r>
              <w:t>Объемное напряженное состояние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000000" w:rsidRDefault="001A7243">
            <w:pPr>
              <w:spacing w:line="360" w:lineRule="auto"/>
              <w:jc w:val="both"/>
            </w:pPr>
            <w:r>
              <w:t>4.Расчет элементов бетонных сооружений по образованию трещин</w:t>
            </w:r>
          </w:p>
        </w:tc>
      </w:tr>
    </w:tbl>
    <w:p w:rsidR="00000000" w:rsidRDefault="001A7243">
      <w:pPr>
        <w:spacing w:line="360" w:lineRule="auto"/>
        <w:ind w:right="2834" w:firstLine="284"/>
        <w:jc w:val="both"/>
      </w:pPr>
    </w:p>
    <w:sectPr w:rsidR="00000000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C66"/>
    <w:multiLevelType w:val="singleLevel"/>
    <w:tmpl w:val="434C0874"/>
    <w:lvl w:ilvl="0">
      <w:start w:val="6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2CD935A9"/>
    <w:multiLevelType w:val="singleLevel"/>
    <w:tmpl w:val="B33A610E"/>
    <w:lvl w:ilvl="0">
      <w:start w:val="1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303D63D4"/>
    <w:multiLevelType w:val="singleLevel"/>
    <w:tmpl w:val="2FCCF162"/>
    <w:lvl w:ilvl="0">
      <w:start w:val="2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7C8292A"/>
    <w:multiLevelType w:val="singleLevel"/>
    <w:tmpl w:val="F8F46D62"/>
    <w:lvl w:ilvl="0">
      <w:start w:val="3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5B3C6029"/>
    <w:multiLevelType w:val="singleLevel"/>
    <w:tmpl w:val="AECC6184"/>
    <w:lvl w:ilvl="0">
      <w:start w:val="7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5F5F045A"/>
    <w:multiLevelType w:val="singleLevel"/>
    <w:tmpl w:val="2FD09A78"/>
    <w:lvl w:ilvl="0">
      <w:start w:val="2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654273A3"/>
    <w:multiLevelType w:val="singleLevel"/>
    <w:tmpl w:val="124428FE"/>
    <w:lvl w:ilvl="0">
      <w:start w:val="3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67AA244F"/>
    <w:multiLevelType w:val="singleLevel"/>
    <w:tmpl w:val="677A33B8"/>
    <w:lvl w:ilvl="0">
      <w:start w:val="4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73D04E4D"/>
    <w:multiLevelType w:val="singleLevel"/>
    <w:tmpl w:val="3BE88118"/>
    <w:lvl w:ilvl="0">
      <w:start w:val="5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243"/>
    <w:rsid w:val="001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1585</Words>
  <Characters>9035</Characters>
  <Application>Microsoft Office Word</Application>
  <DocSecurity>0</DocSecurity>
  <Lines>75</Lines>
  <Paragraphs>21</Paragraphs>
  <ScaleCrop>false</ScaleCrop>
  <Company>Elcom Ltd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ДЕЗИНФЕКЦИЯ ОЧИЩЕННЫХ СТОЧНЫХ ВОД </dc:title>
  <dc:subject/>
  <dc:creator>GI</dc:creator>
  <cp:keywords/>
  <dc:description/>
  <cp:lastModifiedBy>Parhomeiai</cp:lastModifiedBy>
  <cp:revision>2</cp:revision>
  <cp:lastPrinted>1601-01-01T00:00:00Z</cp:lastPrinted>
  <dcterms:created xsi:type="dcterms:W3CDTF">2013-04-11T10:19:00Z</dcterms:created>
  <dcterms:modified xsi:type="dcterms:W3CDTF">2013-04-11T10:19:00Z</dcterms:modified>
</cp:coreProperties>
</file>