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921E9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7921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7921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7921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7921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7921E9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7921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7921E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7921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7921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7921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ОБЛИЦОВЩИКОВ </w:t>
      </w:r>
    </w:p>
    <w:p w:rsidR="00000000" w:rsidRDefault="007921E9">
      <w:pPr>
        <w:widowControl w:val="0"/>
        <w:ind w:firstLine="284"/>
        <w:jc w:val="center"/>
        <w:rPr>
          <w:b/>
        </w:rPr>
      </w:pPr>
    </w:p>
    <w:p w:rsidR="00000000" w:rsidRDefault="007921E9">
      <w:pPr>
        <w:widowControl w:val="0"/>
        <w:ind w:firstLine="284"/>
        <w:jc w:val="center"/>
        <w:rPr>
          <w:b/>
        </w:rPr>
      </w:pPr>
      <w:r>
        <w:rPr>
          <w:b/>
        </w:rPr>
        <w:t>ТОИ Р-66-50-95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both"/>
      </w:pPr>
      <w:r>
        <w:t>Облицовщики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технологиче</w:t>
      </w:r>
      <w:r>
        <w:t>ской оснастки, оборудования и инструмента, применяемых в процессе работы.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both"/>
      </w:pPr>
      <w:r>
        <w:t xml:space="preserve">1. Перед началом работы облицовщики обязаны: </w:t>
      </w:r>
    </w:p>
    <w:p w:rsidR="00000000" w:rsidRDefault="007921E9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 у бригадира или руководителя и пройти инструктаж на рабочем месте по специфике выполняемых работ;</w:t>
      </w:r>
    </w:p>
    <w:p w:rsidR="00000000" w:rsidRDefault="007921E9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образца.</w:t>
      </w:r>
    </w:p>
    <w:p w:rsidR="00000000" w:rsidRDefault="007921E9">
      <w:pPr>
        <w:widowControl w:val="0"/>
        <w:ind w:firstLine="284"/>
        <w:jc w:val="both"/>
      </w:pPr>
      <w:r>
        <w:t>2. После получения задания у бригадира или руководителя работ облицовщики обязаны</w:t>
      </w:r>
      <w:r>
        <w:t>:</w:t>
      </w:r>
    </w:p>
    <w:p w:rsidR="00000000" w:rsidRDefault="007921E9">
      <w:pPr>
        <w:widowControl w:val="0"/>
        <w:ind w:firstLine="284"/>
        <w:jc w:val="both"/>
      </w:pPr>
      <w:r>
        <w:t>а) подготовить необходимые средства индивидуальной защиты и проверить их исправность;</w:t>
      </w:r>
    </w:p>
    <w:p w:rsidR="00000000" w:rsidRDefault="007921E9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7921E9">
      <w:pPr>
        <w:widowControl w:val="0"/>
        <w:ind w:firstLine="284"/>
        <w:jc w:val="both"/>
      </w:pPr>
      <w:r>
        <w:t>в) подобрать технологическую оснастку, инструмент, необходимые при выполнении работы, и проверить их на соответствие требованиям безопасности.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Облицовщики не должны приступать к выполнению работ при следующих нарушениях требований безопасности:</w:t>
      </w:r>
    </w:p>
    <w:p w:rsidR="00000000" w:rsidRDefault="007921E9">
      <w:pPr>
        <w:widowControl w:val="0"/>
        <w:ind w:firstLine="284"/>
        <w:jc w:val="both"/>
      </w:pPr>
      <w:r>
        <w:t>а) неисправностях технологической оснастки, средств защиты работающих и инструмента, указа</w:t>
      </w:r>
      <w:r>
        <w:t>нных в инструкциях заводов-изготовителей, при которых не допускается их применение;</w:t>
      </w:r>
    </w:p>
    <w:p w:rsidR="00000000" w:rsidRDefault="007921E9">
      <w:pPr>
        <w:widowControl w:val="0"/>
        <w:ind w:firstLine="284"/>
        <w:jc w:val="both"/>
      </w:pPr>
      <w:r>
        <w:t xml:space="preserve">б) </w:t>
      </w:r>
      <w:proofErr w:type="spellStart"/>
      <w:r>
        <w:t>загроможденности</w:t>
      </w:r>
      <w:proofErr w:type="spellEnd"/>
      <w:r>
        <w:t xml:space="preserve"> или недостаточной освещенности рабочих мест и подходов к ним;</w:t>
      </w:r>
    </w:p>
    <w:p w:rsidR="00000000" w:rsidRDefault="007921E9">
      <w:pPr>
        <w:widowControl w:val="0"/>
        <w:ind w:firstLine="284"/>
        <w:jc w:val="both"/>
      </w:pPr>
      <w:r>
        <w:t>в) загазованности или запыленности в помещении, а также при сильном ветре и атмосферных осадках;</w:t>
      </w:r>
    </w:p>
    <w:p w:rsidR="00000000" w:rsidRDefault="007921E9">
      <w:pPr>
        <w:widowControl w:val="0"/>
        <w:ind w:firstLine="284"/>
        <w:jc w:val="both"/>
      </w:pPr>
      <w:r>
        <w:t xml:space="preserve">г) нарушении устойчивости средств </w:t>
      </w:r>
      <w:proofErr w:type="spellStart"/>
      <w:r>
        <w:t>подмащивания</w:t>
      </w:r>
      <w:proofErr w:type="spellEnd"/>
      <w:r>
        <w:t xml:space="preserve"> и конструкций зданий и сооружений.</w:t>
      </w:r>
    </w:p>
    <w:p w:rsidR="00000000" w:rsidRDefault="007921E9">
      <w:pPr>
        <w:widowControl w:val="0"/>
        <w:ind w:firstLine="284"/>
        <w:jc w:val="both"/>
      </w:pPr>
      <w:r>
        <w:t xml:space="preserve">Обнаруженные нарушения требований безопасности должны быть устранены собственными силами, а при невозможности сделать это облицовщики обязаны незамедлительно сообщить </w:t>
      </w:r>
      <w:r>
        <w:t>бригадиру или руководителю работ.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В процессе работы облицовщики обязаны соблюдать следующие требования безопасности:</w:t>
      </w:r>
    </w:p>
    <w:p w:rsidR="00000000" w:rsidRDefault="007921E9">
      <w:pPr>
        <w:widowControl w:val="0"/>
        <w:ind w:firstLine="284"/>
        <w:jc w:val="both"/>
      </w:pPr>
      <w:r>
        <w:t>а) выполнять обработку (пиление, сверление, шлифование, полирование) облицовочных камней в специально отведенных для этого местах на станках или с применением механизированного инструмента.</w:t>
      </w:r>
    </w:p>
    <w:p w:rsidR="00000000" w:rsidRDefault="007921E9">
      <w:pPr>
        <w:widowControl w:val="0"/>
        <w:ind w:firstLine="284"/>
        <w:jc w:val="both"/>
      </w:pPr>
      <w:r>
        <w:t>Запрещается производить обработку камней, лежащих или установленных на настилах лесов и подмостей;</w:t>
      </w:r>
    </w:p>
    <w:p w:rsidR="00000000" w:rsidRDefault="007921E9">
      <w:pPr>
        <w:widowControl w:val="0"/>
        <w:ind w:firstLine="284"/>
        <w:jc w:val="both"/>
      </w:pPr>
      <w:r>
        <w:t>б) не осуществлять распиловку камней без ограждения абразивно</w:t>
      </w:r>
      <w:r>
        <w:t>го круга;</w:t>
      </w:r>
    </w:p>
    <w:p w:rsidR="00000000" w:rsidRDefault="007921E9">
      <w:pPr>
        <w:widowControl w:val="0"/>
        <w:ind w:firstLine="284"/>
        <w:jc w:val="both"/>
      </w:pPr>
      <w:r>
        <w:t>в) применять защитные экраны между станками при обработке камней несколькими облицовщиками, работающими на расстоянии менее</w:t>
      </w:r>
      <w:r>
        <w:rPr>
          <w:noProof/>
        </w:rPr>
        <w:t xml:space="preserve"> 3</w:t>
      </w:r>
      <w:r>
        <w:t xml:space="preserve"> м друг от друга;</w:t>
      </w:r>
    </w:p>
    <w:p w:rsidR="00000000" w:rsidRDefault="007921E9">
      <w:pPr>
        <w:widowControl w:val="0"/>
        <w:ind w:firstLine="284"/>
        <w:jc w:val="both"/>
      </w:pPr>
      <w:r>
        <w:t xml:space="preserve">г) при сухой обработке камней в помещениях пользоваться пылеотсасывающими </w:t>
      </w:r>
      <w:r>
        <w:lastRenderedPageBreak/>
        <w:t>устройствами;</w:t>
      </w:r>
    </w:p>
    <w:p w:rsidR="00000000" w:rsidRDefault="007921E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при подгонке камней ручным или механизированным инструментом ударного действия пользоваться защитными очками;</w:t>
      </w:r>
    </w:p>
    <w:p w:rsidR="00000000" w:rsidRDefault="007921E9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при укладке облицовочных плиток на цементном растворе пользоваться резиновыми </w:t>
      </w:r>
      <w:proofErr w:type="spellStart"/>
      <w:r>
        <w:t>напальчниками</w:t>
      </w:r>
      <w:proofErr w:type="spellEnd"/>
      <w:r>
        <w:t xml:space="preserve"> или тонкими резиновыми перчатками, при этом предварительно </w:t>
      </w:r>
      <w:proofErr w:type="spellStart"/>
      <w:r>
        <w:t>нате</w:t>
      </w:r>
      <w:r>
        <w:t>рев</w:t>
      </w:r>
      <w:proofErr w:type="spellEnd"/>
      <w:r>
        <w:t xml:space="preserve"> руки тальком или порошком из мела;</w:t>
      </w:r>
    </w:p>
    <w:p w:rsidR="00000000" w:rsidRDefault="007921E9">
      <w:pPr>
        <w:widowControl w:val="0"/>
        <w:ind w:firstLine="284"/>
        <w:jc w:val="both"/>
      </w:pPr>
      <w:r>
        <w:t>ж) при укладке облицовочных материалов на горячие мастики разогревать и переносить мастику в заправленной брезентовой одежде, рукавицах и закрытой обуви; переносить мастику в бачках, специально предназначенных для этих целей и оборудованных крышками с запирающимися устройствами;</w:t>
      </w:r>
    </w:p>
    <w:p w:rsidR="00000000" w:rsidRDefault="007921E9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при очистке поверхностей металлическими щетками или другими инструментами и приспособлениями применять защитные очки, а при работе с кислотой</w:t>
      </w:r>
      <w:r>
        <w:rPr>
          <w:noProof/>
        </w:rPr>
        <w:t xml:space="preserve"> —</w:t>
      </w:r>
      <w:r>
        <w:t xml:space="preserve"> раствор не более 5 %-ной концентрации;</w:t>
      </w:r>
    </w:p>
    <w:p w:rsidR="00000000" w:rsidRDefault="007921E9">
      <w:pPr>
        <w:widowControl w:val="0"/>
        <w:ind w:firstLine="284"/>
        <w:jc w:val="both"/>
      </w:pPr>
      <w:r>
        <w:t>и) прим</w:t>
      </w:r>
      <w:r>
        <w:t>енять ручной электрифицированный инструмент с двойной изоляцией.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Работы с применением кислоты следует выполнять в защитных очках, а также в резиновых сапогах, перчатках и фартуке. Раствор необходимо приготавливать вливанием кислоты в воду. Помещения, где выполнялись работы с применением кислоты, необходимо проветривать.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Электроинструмент, светильники и машины с электроприводом следует подключать к сети при помощи штепсельных разъемов.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использовании абразивного инструмента следует убедиться в от</w:t>
      </w:r>
      <w:r>
        <w:t>сутствии трещин на абразивном круге. Применяемый инструмент должен иметь ограждение абразивного круга, прочно закрепленное на корпусе.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перерывах работы с применением </w:t>
      </w:r>
      <w:proofErr w:type="spellStart"/>
      <w:r>
        <w:t>электро</w:t>
      </w:r>
      <w:proofErr w:type="spellEnd"/>
      <w:r>
        <w:t xml:space="preserve">- или </w:t>
      </w:r>
      <w:proofErr w:type="spellStart"/>
      <w:r>
        <w:t>пневмоинструмента</w:t>
      </w:r>
      <w:proofErr w:type="spellEnd"/>
      <w:r>
        <w:t>, а также при необходимости переноски инструмента с одного места на другое его следует выключать.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обнаружении повреждения шлангов или отказе инструмента с </w:t>
      </w:r>
      <w:proofErr w:type="spellStart"/>
      <w:r>
        <w:t>пневмоприводом</w:t>
      </w:r>
      <w:proofErr w:type="spellEnd"/>
      <w:r>
        <w:t xml:space="preserve"> облицовщики обязаны прекратить работу и перекрыть вентилем подачу воздуха. Перекрытие подачи воздуха перегибами шлангов не допускает</w:t>
      </w:r>
      <w:r>
        <w:t>ся.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Контейнеры, применяемые для доставки мелкоштучных материалов на рабочие места, должны иметь исправные запирающие устройства, предотвращающие падение материалов при перемещении.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Для прохода на рабочее место облицовщики должны использовать оборудованные системы доступа (трапы, стремянки, приставные лестницы).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В качестве средств </w:t>
      </w:r>
      <w:proofErr w:type="spellStart"/>
      <w:r>
        <w:t>подмащивания</w:t>
      </w:r>
      <w:proofErr w:type="spellEnd"/>
      <w:r>
        <w:t xml:space="preserve"> необходимо применять, как правило, инвентарные средства </w:t>
      </w:r>
      <w:proofErr w:type="spellStart"/>
      <w:r>
        <w:t>подмащивания</w:t>
      </w:r>
      <w:proofErr w:type="spellEnd"/>
      <w:r>
        <w:t xml:space="preserve"> (подмости сборно-разборные, подмости передвижные с перемещаемым рабочим местом, столик</w:t>
      </w:r>
      <w:r>
        <w:t xml:space="preserve">и и др.), оборудованные ограждениями. Запрещается применять в качестве подмостей случайные средства </w:t>
      </w:r>
      <w:proofErr w:type="spellStart"/>
      <w:r>
        <w:t>подмащивания</w:t>
      </w:r>
      <w:proofErr w:type="spellEnd"/>
      <w:r>
        <w:t xml:space="preserve"> (ящики, бочки, ведра и т.п.).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нанесении раствора на потолочную или вертикальную поверхность вручную или при помощи форсунки облицовщики должны находиться сбоку от места </w:t>
      </w:r>
      <w:proofErr w:type="spellStart"/>
      <w:r>
        <w:t>набрызга</w:t>
      </w:r>
      <w:proofErr w:type="spellEnd"/>
      <w:r>
        <w:t xml:space="preserve"> раствора. Для защиты глаз следует пользоваться защитными очками.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Запрещается выполнять работы с подмостей, лесов или лестниц, имеющих трещины, изломы, деформацию и другие дефекты несущих элементов,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Запреща</w:t>
      </w:r>
      <w:r>
        <w:t>ется складировать материалы на подмостях и лесах в количестве, превышающем максимальную нагрузку, указанную в паспорте завода</w:t>
      </w:r>
      <w:r>
        <w:rPr>
          <w:noProof/>
        </w:rPr>
        <w:t xml:space="preserve"> —</w:t>
      </w:r>
      <w:r>
        <w:t xml:space="preserve"> изготовителя данного средства </w:t>
      </w:r>
      <w:proofErr w:type="spellStart"/>
      <w:r>
        <w:t>подмащивания</w:t>
      </w:r>
      <w:proofErr w:type="spellEnd"/>
      <w:r>
        <w:t>.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both"/>
      </w:pPr>
      <w:r>
        <w:rPr>
          <w:noProof/>
        </w:rPr>
        <w:t>16</w:t>
      </w:r>
      <w:r>
        <w:rPr>
          <w:i/>
          <w:noProof/>
        </w:rPr>
        <w:t>.</w:t>
      </w:r>
      <w:r>
        <w:t xml:space="preserve"> При обнаружении неисправностей средств </w:t>
      </w:r>
      <w:proofErr w:type="spellStart"/>
      <w:r>
        <w:t>подмащивания</w:t>
      </w:r>
      <w:proofErr w:type="spellEnd"/>
      <w:r>
        <w:t xml:space="preserve">, инструмента с </w:t>
      </w:r>
      <w:proofErr w:type="spellStart"/>
      <w:r>
        <w:t>электро</w:t>
      </w:r>
      <w:proofErr w:type="spellEnd"/>
      <w:r>
        <w:t xml:space="preserve">- или </w:t>
      </w:r>
      <w:proofErr w:type="spellStart"/>
      <w:r>
        <w:t>пневмоприводом</w:t>
      </w:r>
      <w:proofErr w:type="spellEnd"/>
      <w:r>
        <w:t>, а также применяемого оборудования необходимо приостановить работы и сообщить руководителю работ.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Облицовочные работы на лесах вне помещений при изменении погодных условий (снегопад, туман </w:t>
      </w:r>
      <w:r>
        <w:t>или гроза), ухудшающих видимость, а также усилении ветра до скорости</w:t>
      </w:r>
      <w:r>
        <w:rPr>
          <w:noProof/>
        </w:rPr>
        <w:t xml:space="preserve"> 15</w:t>
      </w:r>
      <w:r>
        <w:t xml:space="preserve"> м/с и более следует прекратить и перейти в безопасное место.</w:t>
      </w:r>
    </w:p>
    <w:p w:rsidR="00000000" w:rsidRDefault="007921E9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В случае возгорания применяемых материалов, оснастки и оборудования работу необходимо приостановить и принять меры к их тушению. В случае невозможности ликвидировать загорание собственными силами необходимо вызвать пожарную охрану и сообщить бригадиру или руководителю работ.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7921E9">
      <w:pPr>
        <w:widowControl w:val="0"/>
        <w:ind w:firstLine="284"/>
        <w:jc w:val="both"/>
      </w:pPr>
    </w:p>
    <w:p w:rsidR="00000000" w:rsidRDefault="007921E9">
      <w:pPr>
        <w:widowControl w:val="0"/>
        <w:ind w:firstLine="284"/>
        <w:jc w:val="both"/>
      </w:pPr>
      <w:r>
        <w:t xml:space="preserve">19. По окончании работы облицовщики обязаны: </w:t>
      </w:r>
    </w:p>
    <w:p w:rsidR="00000000" w:rsidRDefault="007921E9">
      <w:pPr>
        <w:widowControl w:val="0"/>
        <w:ind w:firstLine="284"/>
        <w:jc w:val="both"/>
      </w:pPr>
      <w:r>
        <w:t>а) откл</w:t>
      </w:r>
      <w:r>
        <w:t xml:space="preserve">ючить от сети применяемый механизированный инструмент и убрать его в отведенное для этого место; </w:t>
      </w:r>
    </w:p>
    <w:p w:rsidR="00000000" w:rsidRDefault="007921E9">
      <w:pPr>
        <w:widowControl w:val="0"/>
        <w:ind w:firstLine="284"/>
        <w:jc w:val="both"/>
      </w:pPr>
      <w:r>
        <w:t>б) привести в порядок рабочее место;</w:t>
      </w:r>
    </w:p>
    <w:p w:rsidR="00000000" w:rsidRDefault="007921E9">
      <w:pPr>
        <w:widowControl w:val="0"/>
        <w:ind w:firstLine="284"/>
        <w:jc w:val="both"/>
      </w:pPr>
      <w:r>
        <w:t>в) сообщить бригадиру или руководителю работ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E9"/>
    <w:rsid w:val="007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6073</Characters>
  <Application>Microsoft Office Word</Application>
  <DocSecurity>0</DocSecurity>
  <Lines>50</Lines>
  <Paragraphs>14</Paragraphs>
  <ScaleCrop>false</ScaleCrop>
  <Company>Elcom Ltd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