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3655">
      <w:pPr>
        <w:spacing w:line="240" w:lineRule="auto"/>
        <w:ind w:left="0"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ГОССТРОЙ РОССИИ</w:t>
      </w:r>
    </w:p>
    <w:p w:rsidR="00000000" w:rsidRDefault="00FC3655">
      <w:pPr>
        <w:spacing w:line="240" w:lineRule="auto"/>
        <w:ind w:left="0" w:firstLine="284"/>
        <w:jc w:val="center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sz w:val="20"/>
        </w:rPr>
      </w:pPr>
      <w:r>
        <w:rPr>
          <w:sz w:val="20"/>
        </w:rPr>
        <w:t>ПРАКТИЧЕСКОЕ   ПОСОБИЕ</w:t>
      </w: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ПО ПРИМЕНЕНИЮ СПРАВОЧНИКА БАЗОВЫХ ЦЕН </w:t>
      </w:r>
    </w:p>
    <w:p w:rsidR="00000000" w:rsidRDefault="00FC3655">
      <w:pPr>
        <w:spacing w:line="240" w:lineRule="auto"/>
        <w:ind w:left="0" w:firstLine="284"/>
        <w:jc w:val="center"/>
        <w:rPr>
          <w:sz w:val="20"/>
        </w:rPr>
      </w:pPr>
      <w:r>
        <w:rPr>
          <w:b/>
          <w:sz w:val="20"/>
        </w:rPr>
        <w:t>НА ПРОЕКТНЫЕ РАБОТЫ ДЛЯ СТРОИТЕЛЬСТВА</w:t>
      </w:r>
    </w:p>
    <w:p w:rsidR="00000000" w:rsidRDefault="00FC3655">
      <w:pPr>
        <w:spacing w:line="240" w:lineRule="auto"/>
        <w:ind w:left="0" w:firstLine="284"/>
        <w:jc w:val="center"/>
        <w:rPr>
          <w:b/>
          <w:i/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sz w:val="20"/>
        </w:rPr>
      </w:pPr>
      <w:r>
        <w:rPr>
          <w:b/>
          <w:i/>
          <w:sz w:val="20"/>
        </w:rPr>
        <w:t>СИСТЕМЫ ПРОТИВОПОЖАРНОЙ И ОХРАННОЙ ЗАЩИТЫ</w:t>
      </w:r>
    </w:p>
    <w:p w:rsidR="00000000" w:rsidRDefault="00FC3655">
      <w:pPr>
        <w:spacing w:line="240" w:lineRule="auto"/>
        <w:ind w:left="0" w:firstLine="284"/>
        <w:jc w:val="center"/>
        <w:rPr>
          <w:i/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i/>
          <w:sz w:val="20"/>
        </w:rPr>
      </w:pPr>
      <w:r>
        <w:rPr>
          <w:i/>
          <w:sz w:val="20"/>
        </w:rPr>
        <w:t xml:space="preserve">(Общие положения; относительная стоимость </w:t>
      </w:r>
    </w:p>
    <w:p w:rsidR="00000000" w:rsidRDefault="00FC3655">
      <w:pPr>
        <w:spacing w:line="240" w:lineRule="auto"/>
        <w:ind w:left="0" w:firstLine="284"/>
        <w:jc w:val="center"/>
        <w:rPr>
          <w:sz w:val="20"/>
        </w:rPr>
      </w:pPr>
      <w:r>
        <w:rPr>
          <w:i/>
          <w:sz w:val="20"/>
        </w:rPr>
        <w:t>разработки проектной документации)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В настоящем Пр</w:t>
      </w:r>
      <w:r>
        <w:rPr>
          <w:sz w:val="20"/>
        </w:rPr>
        <w:t>актическом пособии приводятся: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1. Разъяснения основных положений Справочника базовых цен на проектные работы для строительства "Системы противопожарной и охранной защиты".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 Разъяснения порядка определения базовых цен на проектные работы.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3. Разъяснения порядка определения базовых цен на отдельные виды проектных и непроектных работ, не нашедшие отражения в Справочнике базовых цен.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4. Таблицы относительной стоимости разработки проектной документации.</w:t>
      </w:r>
    </w:p>
    <w:p w:rsidR="00000000" w:rsidRDefault="00FC3655">
      <w:pPr>
        <w:spacing w:line="240" w:lineRule="auto"/>
        <w:ind w:left="0" w:firstLine="284"/>
        <w:rPr>
          <w:b/>
          <w:i/>
          <w:sz w:val="20"/>
          <w:u w:val="single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b/>
          <w:i/>
          <w:sz w:val="20"/>
          <w:u w:val="single"/>
        </w:rPr>
        <w:t>Составители: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i/>
          <w:sz w:val="20"/>
        </w:rPr>
        <w:t>•</w:t>
      </w:r>
      <w:r>
        <w:rPr>
          <w:sz w:val="20"/>
        </w:rPr>
        <w:t xml:space="preserve"> ГП "ЦЕНТРИНВЕСТпроект" Госстроя России, о</w:t>
      </w:r>
      <w:r>
        <w:rPr>
          <w:sz w:val="20"/>
        </w:rPr>
        <w:t>тдел экономики и ценообразования в проектировании;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ОАО НПП "Спецавтоматика".</w:t>
      </w:r>
    </w:p>
    <w:p w:rsidR="00000000" w:rsidRDefault="00FC3655">
      <w:pPr>
        <w:spacing w:line="240" w:lineRule="auto"/>
        <w:ind w:left="0" w:firstLine="284"/>
        <w:rPr>
          <w:b/>
          <w:sz w:val="20"/>
        </w:rPr>
      </w:pPr>
    </w:p>
    <w:p w:rsidR="00000000" w:rsidRDefault="00FC3655">
      <w:pPr>
        <w:spacing w:line="240" w:lineRule="auto"/>
        <w:ind w:left="0" w:firstLine="284"/>
        <w:rPr>
          <w:b/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ВВЕДЕНИЕ</w:t>
      </w:r>
    </w:p>
    <w:p w:rsidR="00000000" w:rsidRDefault="00FC3655">
      <w:pPr>
        <w:spacing w:line="240" w:lineRule="auto"/>
        <w:ind w:left="0" w:firstLine="284"/>
        <w:jc w:val="center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"Системы противопожарной и охранной защиты" разработан ГП "ЦЕНТРИНВЕСТпроект" Госстроя России совместно с ОАО НПП "Спецавтоматика", одобрен и рекомендован для применения письмом Госстроя России от 28.09.99 № НЗ-3287/10.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Справочник разработан с учетом новых требований и достижений науки и техники по усилению противопожарной и охранной защиты, а также опыта те</w:t>
      </w:r>
      <w:r>
        <w:rPr>
          <w:sz w:val="20"/>
        </w:rPr>
        <w:t>хнологии проектирования этих систем.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 введением в действие Справочника утрачивает силу раздел 60 "Автоматические установки пожаротушения, пожарной и охранной сигнализации" Сборника цен на проектные работы для строительства изд. 1987-90 гг.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В Справочнике приведены базовые цены на проектирование систем противопожарной и охранной защиты и их элементов, охватывающих следующую номенклатуру: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автоматические установки водяного пожаротушения;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автоматические установки пожаротушения газовые, модульные и импульсно</w:t>
      </w:r>
      <w:r>
        <w:rPr>
          <w:sz w:val="20"/>
        </w:rPr>
        <w:t>го действия (порошковые, аэрозольные и др.);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автоматические установки пожарной сигнализации;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системы оповещения людей о пожаре;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установки охранной сигнализации;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установки периметральной охранной сигнализации;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системы управления установками дымоудаления;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насосные станции установок пожаротушения;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резервуары хранения огнетушащего вещества для установок водяного и пенного пожаротушения.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Общую стоимость проектных работ по системам противопожарной и охранной защиты следует определять путем суммирова</w:t>
      </w:r>
      <w:r>
        <w:rPr>
          <w:sz w:val="20"/>
        </w:rPr>
        <w:t>ния стоимости проектирования соответствующих установок и систем, разрабатываемых для объекта.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Справочник состоит из: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1. Основных положений;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 Порядка определения базовых цен на проектные работы;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3. Цен на разработку проектной документации.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1. РАЗЪЯСНЕНИЯ ОСНОВНЫХ ПОЛОЖЕНИЙ СПРАВОЧНИКА</w:t>
      </w:r>
    </w:p>
    <w:p w:rsidR="00000000" w:rsidRDefault="00FC3655">
      <w:pPr>
        <w:spacing w:line="240" w:lineRule="auto"/>
        <w:ind w:left="0" w:firstLine="284"/>
        <w:jc w:val="center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1.5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Базовая цена проектирования систем противопожарной и охранной защиты предприятий, входящих в состав промышленного комплекса, а также одновременной разработки проектной документации этих систем для двух и боле</w:t>
      </w:r>
      <w:r>
        <w:rPr>
          <w:sz w:val="20"/>
        </w:rPr>
        <w:t>е различных предприятий, производств, корпусов, цехов, зданий, сооружений, расположенных на одной промышленной площадке, определяется путем суммирования цены проектных работ для каждого из этих объектов.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1.6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 xml:space="preserve">Базовые цены на проектные работы, приведенные в Справочнике, установлены применительно к требованиям, содержащимся в СНиП 11-01-95 "Инструкция о порядке разработки, согласования, утверждения и составе проектной документации на строительство предприятий, зданий и сооружений", СНиП 3.01.01-85 </w:t>
      </w:r>
      <w:r>
        <w:rPr>
          <w:sz w:val="20"/>
        </w:rPr>
        <w:t>"Организация строительного производства" и в других нормативных документах по проектированию, действующих по состоянию на 1 октября 1999 г.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По пункту 1.7 </w:t>
      </w:r>
    </w:p>
    <w:p w:rsidR="00000000" w:rsidRDefault="00FC3655">
      <w:pPr>
        <w:spacing w:line="240" w:lineRule="auto"/>
        <w:ind w:left="0" w:firstLine="284"/>
        <w:rPr>
          <w:i/>
          <w:sz w:val="20"/>
          <w:u w:val="single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В базовую цену не входит стоимость выполнения следующих работ: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альтернативных (возможных) вариантов проекта (рабочего проекта) или отдельных технологических, конструктивных, архитектурных и других решений, предусматриваемых в задании на проектирование.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При этом в задании на проектирование приводятся отличительные особенности вариантов и исх</w:t>
      </w:r>
      <w:r>
        <w:rPr>
          <w:sz w:val="20"/>
        </w:rPr>
        <w:t>одные данные, необходимые для их разработки.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Степень проработки альтернативных (возможных) вариантов должна соответствовать глубине проработки основного варианта. Документация альтернативных (возможных) вариантов передается заказчику в порядке, установленном для проекта (рабочего проекта). Стоимость разработки альтернативных (возможных) вариантов проекта (рабочего проекта) или отдельных технологических, конструктивных и других решений, выдаваемых заказчику, определяется по цене основного варианта с применен</w:t>
      </w:r>
      <w:r>
        <w:rPr>
          <w:sz w:val="20"/>
        </w:rPr>
        <w:t>ием понижающего коэффициента. Размер понижающего коэффициента устанавливается проектной организацией по согласованию с заказчиком в соответствии с трудоемкостью и объемом работ;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рабочих чертежей на специальные вспомогательные сооружения, приспособления, устройства и установки при проектировании объектов с особо сложными конструкциями и методами производства работ осуществляется в соответствии с требованиями СНиП 3.01.01-85.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Базовая цена разработки рабочих чертежей указанных сооружений, приспосо</w:t>
      </w:r>
      <w:r>
        <w:rPr>
          <w:sz w:val="20"/>
        </w:rPr>
        <w:t>блений, устройств и установок определяется в порядке, установленном строительными организациями, либо расчетом стоимости в соответствии с калькуляцией затрат;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решений по монументально-декоративному оформлению зданий и сооружений.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Такие работы, в случаях, когда это предусмотрено заданием на проектирование, выполняются, как правило, организациями художественного Фонда по отдельным договорам;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внесение изменений в проектную документацию, связанных с введением новых нормативных документов, заменой</w:t>
      </w:r>
      <w:r>
        <w:rPr>
          <w:sz w:val="20"/>
        </w:rPr>
        <w:t xml:space="preserve"> оборудования более прогрессивным, внесением изменений в задание на проектирование и др., за исключением исправления ошибок, допущенных проектной организацией.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Выполнение указанных работ должно предусматриваться заданием на проектирование объекта или отдельным поручением заказчика и оплачиваться дополнительно.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Стоимость корректировки проектной документации при изменении задания на проектирование определяется по цене на разработку проектной документации объекта в целом или его части, определяемой в соответст</w:t>
      </w:r>
      <w:r>
        <w:rPr>
          <w:sz w:val="20"/>
        </w:rPr>
        <w:t>вии с ее относительной стоимостью, с применением понижающего коэффициента, размер которого устанавливается проектной организацией в зависимости от трудоемкости работ;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 xml:space="preserve">• разработка чертежей конструкций металлических деталировочных (КМД) и технологических трубопроводов заводского изготовления. В соответствии со СНиП 11-01-95 </w:t>
      </w:r>
      <w:r>
        <w:rPr>
          <w:sz w:val="20"/>
        </w:rPr>
        <w:lastRenderedPageBreak/>
        <w:t>КМД разрабатывают заводы-изготовители. В случае поручения этих работ проектным организациям, они выполняются за дополнительную плату;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обследования и обмерные работы на объектах, подлежа</w:t>
      </w:r>
      <w:r>
        <w:rPr>
          <w:sz w:val="20"/>
        </w:rPr>
        <w:t>щих реконструкции, расширению и техническому перевооружению. Определять стоимость таких работ следует по соответствующим Справочникам, либо расчетом стоимости в соответствии с калькуляцией затрат;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конструкторской документации на оборудование индивидуального изготовления и заданий, необходимых на выполнение этой документации, кроме составления исходных требований, необходимых для разработки технического задания на выполнение этой документации.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Справочником базовых цен учтены затраты на составлен</w:t>
      </w:r>
      <w:r>
        <w:rPr>
          <w:sz w:val="20"/>
        </w:rPr>
        <w:t>ие исходных требований для разработки конструкторской документации на оборудование индивидуального изготовления, включая единичное и мелкосерийное. Техническое задание на указанное оборудование разрабатывает завод - изготовитель.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В отдельных случаях, когда разработка указанной конструкторской документации поручается проектной организации, она осуществляется, как правило, по договорам с заводом-изготовителем оборудования. Если завод-изготовитель не определен, то разработка конструкторской документации на обо</w:t>
      </w:r>
      <w:r>
        <w:rPr>
          <w:sz w:val="20"/>
        </w:rPr>
        <w:t>рудование может выполняться проектной организацией по поручению заказчика. При этом базовая цена выполнения указанных конструкторских работ определяется по ценам, установленным организациями по подчиненности заводов-изготовителей указанного оборудования;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принципиальных электрических схем, необходимых для изготовления комплектных низковольтных устройств управления электроустановками.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Стоимость разработки указанных схем может определяться по Справочнику базовых цен на разработку конструкторской д</w:t>
      </w:r>
      <w:r>
        <w:rPr>
          <w:sz w:val="20"/>
        </w:rPr>
        <w:t>окументации оборудования индивидуального изготовления, утвержденному Минземстроем (Госстроем) России издания 1998 г.;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заданий заводам - изготовителям на изготовление комплектных низковольтных устройств управления электроустановками (щитовых устройств).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Справочником базовых цен учтены затраты на разработку габаритных чертежей указанного электрооборудования, необходимых для принятия планировочных решений.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изготовление демонстрационных макетов;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Цена изготовления демонстрационных материалов учтен</w:t>
      </w:r>
      <w:r>
        <w:rPr>
          <w:sz w:val="20"/>
        </w:rPr>
        <w:t>а Справочником и дополнительно не оплачивается, за исключением цены изготовления демонстрационных макетов, которая определяется дополнительно;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осуществление авторского надзора;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научно-исследовательские и опытно-экспериментальные работы, в том числе создание имитационного оборудования, отладочных средств, программ и методик испытаний;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затраты на служебные командировки.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Базовыми ценами Справочника не учтены затраты на служебные командировки, в том числе и затраты административного персонала, если команд</w:t>
      </w:r>
      <w:r>
        <w:rPr>
          <w:sz w:val="20"/>
        </w:rPr>
        <w:t>ировки этого персонала связаны непосредственно с проектированием объекта;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разработка проектов производства строительно-монтажных работ (ППР).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Базовая цена ППР определяется по ведомственным Ценникам, а при их отсутствии - расчетом стоимости в соответствии с калькуляцией затрат. Базовая цена этих работ заказчиком оплачивается дополнительно к базовой цене проектных работ, определенной по Справочнику. Изложенное положение распространяется на все виды и способы строительства (новое строительство, реконструкция</w:t>
      </w:r>
      <w:r>
        <w:rPr>
          <w:sz w:val="20"/>
        </w:rPr>
        <w:t xml:space="preserve"> и техническое перевооружение, подрядный, хозяйственный или смешанный способ строительства);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 xml:space="preserve">• разработка технической документации на проектирование автоматизированных систем управления технологическими процессами (АСУТП) противопожарной и охранной защиты. Базовая цена проектирования АСУТП определяется по Справочнику базовых цен на разработку технической документации на автоматизированные системы управления технологическими процессами (АСУТП). 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Кроме того, базовыми ценами Справочника не учтены: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проектиров</w:t>
      </w:r>
      <w:r>
        <w:rPr>
          <w:sz w:val="20"/>
        </w:rPr>
        <w:t>ание внутриплощадочных сетей, относящихся к установкам пожаротушения, пожарной и охранной сигнализации (кроме сетей периметральной охранной сигнализации);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проектирование зданий и сооружений, предназначенных для систем противопожарной и охранной защиты;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решения по удалению огнетушащих веществ после пожара и их очистки;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решения по отключению (блокировке) при пожаре или несанкционированном проникновении: технологических процессов, оборудования, систем энерго- и жизнеобеспечения.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2. РАЗЪЯСНЕНИЯ ПОРЯДКА О</w:t>
      </w:r>
      <w:r>
        <w:rPr>
          <w:b/>
          <w:sz w:val="20"/>
        </w:rPr>
        <w:t xml:space="preserve">ПРЕДЕЛЕНИЯ </w:t>
      </w: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БАЗОВЫХ ЦЕН НА ПРОЕКТНЫЕ РАБОТЫ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По пункту 2.6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При определении стоимости проектных работ по базовым ценам Справочника при наличии нескольких усложняющих факторов и применения в связи с этим нескольких коэффициентов, больших единицы, общий повышающий коэффициент определяется путем суммирования их дробных частей и единицы.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При определении стоимости проектных работ с применением к базовым ценам нескольких коэффициентов меньше единицы, общий понижающий коэффициент определяется путем их перемножения</w:t>
      </w:r>
      <w:r>
        <w:rPr>
          <w:sz w:val="20"/>
        </w:rPr>
        <w:t>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В случае применения одновременно повышающих и понижающих коэффициентов, сначала в указанном порядке определяется общий повышающий и общий понижающий коэффициенты, которые затем перемножаются.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3. РАЗЪЯСНЕНИЯ ПОРЯДКА ОПРЕДЕЛЕНИЯ БАЗОВЫХ ЦЕН </w:t>
      </w: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НА ОТДЕЛЬНЫЕ ВИДЫ ПРОЕКТНЫХ И НЕПРОЕКТНЫХ РАБОТ, </w:t>
      </w: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НЕ НАШЕДШИЕ ОТРАЖЕНИЯ В СПРАВОЧНИКЕ БАЗОВЫХ ЦЕН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3.1. Базовая цена разработки обоснований инвестиций в строительство, выполняемых в соответствии с требованиями СП 11-101-95, определяется в порядке, установленном в п. 2.</w:t>
      </w:r>
      <w:r>
        <w:rPr>
          <w:sz w:val="20"/>
        </w:rPr>
        <w:t>1. Справочника, с применением коэффициента до 0,2 к общей базовой цене проектирования объекта.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3.2. Базовой ценой не учтены затраты, связанные с оплатой работ по согласованию намечаемых проектных решений органами местного самоуправления (администрации), государственного надзора, в том числе Управлением противопожарной службы, и другими заинтересованными контролирующими организациями.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3.3. Возмещение затрат проектных организаций, связанных с осуществлением ими функций генпроектировщика, в том числе курирован</w:t>
      </w:r>
      <w:r>
        <w:rPr>
          <w:sz w:val="20"/>
        </w:rPr>
        <w:t>ие проектных работ, выполняемых другими проектными организациями, может осуществляться проектной организацией по согласованию с заказчиком в размере до 2% от базовой цены работ, передаваемых на субподряд.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3.4. Цены Справочника приведены на индивидуальное проектирование объектов. Стоимость приобретения проектной продукции массового применения (типовых проектов) дополнительно в договор не включается и дополнительно не оплачивается.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3.5. Затраты проектных организаций, расположенных в районах, в которых произво</w:t>
      </w:r>
      <w:r>
        <w:rPr>
          <w:sz w:val="20"/>
        </w:rPr>
        <w:t>дятся в соответствии с действующим законодательством выплаты, обусловленные районным регулированием оплаты труда, в том числе выплаты по районным коэффициентам, а также надбавки к заработной плате за непрерывный стаж работы и другие льготы, предусмотренные законодательством, в районах Крайнего Севера и приравненных к ним местностях, определяются дополнительно путем введения к итогу базовой цены повышающих коэффициентов, установленных на основании соответствующих обосновывающих расчетов, выполняемых самой ор</w:t>
      </w:r>
      <w:r>
        <w:rPr>
          <w:sz w:val="20"/>
        </w:rPr>
        <w:t>ганизацией.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3.6. Стоимость дополнительного количества экземпляров проектной документации, выдаваемой заказчику по его просьбе сверх 4-х экземпляров, определяется дополнительно к базовой цене, исходя из себестоимости работ по тиражированию и установленного уровня рентабельности.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4. ТАБЛИЦЫ ОТНОСИТЕЛЬНОЙ СТОИМОСТИ </w:t>
      </w: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РАЗРАБОТКИ ПРОЕКТНОЙ ДОКУМЕНТАЦИИ</w:t>
      </w:r>
    </w:p>
    <w:p w:rsidR="00000000" w:rsidRDefault="00FC3655">
      <w:pPr>
        <w:spacing w:line="240" w:lineRule="auto"/>
        <w:ind w:left="0" w:firstLine="284"/>
        <w:jc w:val="center"/>
        <w:rPr>
          <w:i/>
          <w:sz w:val="20"/>
        </w:rPr>
      </w:pPr>
      <w:r>
        <w:rPr>
          <w:i/>
          <w:sz w:val="20"/>
        </w:rPr>
        <w:t>(в % от базовой цены)</w:t>
      </w:r>
    </w:p>
    <w:p w:rsidR="00000000" w:rsidRDefault="00FC3655">
      <w:pPr>
        <w:spacing w:line="240" w:lineRule="auto"/>
        <w:ind w:left="0" w:firstLine="284"/>
        <w:jc w:val="center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>ОБЩИЕ ПОЛОЖЕНИЯ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1. Стоимость отдельных видов, частей, разделов проектных работ, учтенных ценами, определяется по приведенным в настоя</w:t>
      </w:r>
      <w:r>
        <w:rPr>
          <w:sz w:val="20"/>
        </w:rPr>
        <w:t>щем Пособии таблицам относительной стоимости и может уточняться проектной организацией в пределах общей стоимости по каждой стадии проектирования.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2. Таблицы относительной стоимости разработки проектной документации приведены для следующих стадий проектирования: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проект (П);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рабочий проект (РП);</w:t>
      </w:r>
    </w:p>
    <w:p w:rsidR="00000000" w:rsidRDefault="00FC3655">
      <w:pPr>
        <w:spacing w:line="240" w:lineRule="auto"/>
        <w:ind w:left="0" w:firstLine="284"/>
        <w:rPr>
          <w:sz w:val="20"/>
        </w:rPr>
      </w:pPr>
      <w:r>
        <w:rPr>
          <w:sz w:val="20"/>
        </w:rPr>
        <w:t>• рабочая документация (Р).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center"/>
        <w:rPr>
          <w:b/>
          <w:sz w:val="20"/>
        </w:rPr>
      </w:pPr>
      <w:r>
        <w:rPr>
          <w:b/>
          <w:sz w:val="20"/>
        </w:rPr>
        <w:t xml:space="preserve">ОТНОСИТЕЛЬНАЯ СТОИМОСТЬ РАЗРАБОТКИ </w:t>
      </w:r>
    </w:p>
    <w:p w:rsidR="00000000" w:rsidRDefault="00FC3655">
      <w:pPr>
        <w:spacing w:line="240" w:lineRule="auto"/>
        <w:ind w:left="0" w:firstLine="284"/>
        <w:jc w:val="center"/>
        <w:rPr>
          <w:sz w:val="20"/>
        </w:rPr>
      </w:pPr>
      <w:r>
        <w:rPr>
          <w:b/>
          <w:sz w:val="20"/>
        </w:rPr>
        <w:t>ПРОЕКТНОЙ ДОКУМЕНТАЦИИ</w:t>
      </w:r>
    </w:p>
    <w:p w:rsidR="00000000" w:rsidRDefault="00FC3655">
      <w:pPr>
        <w:spacing w:line="240" w:lineRule="auto"/>
        <w:ind w:left="0" w:firstLine="284"/>
        <w:jc w:val="center"/>
        <w:rPr>
          <w:i/>
          <w:sz w:val="20"/>
        </w:rPr>
      </w:pPr>
      <w:r>
        <w:rPr>
          <w:i/>
          <w:sz w:val="20"/>
        </w:rPr>
        <w:t>(в процентах от базовых цен)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 1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701"/>
        <w:gridCol w:w="851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Стадия проектирования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Принципиальные технич</w:t>
            </w:r>
            <w:r>
              <w:rPr>
                <w:sz w:val="20"/>
              </w:rPr>
              <w:t>еские решения, технико-экономический анализ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Автоматика и сигнали-зация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докумен-тация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Автоматические установки водяного пожаротушения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1.Спринклерные установки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2.Дренчерные установки с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гидравлическим пуском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 электрическим пуском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 2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701"/>
        <w:gridCol w:w="851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Стадия проектирования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Принципиальные технические решения, т</w:t>
            </w:r>
            <w:r>
              <w:rPr>
                <w:sz w:val="20"/>
              </w:rPr>
              <w:t>ехнико-экономический анализ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Автоматика и сигнали-зация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докумен-тация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Автоматические установки пожаротушения газовые, модульные и импульсного действия (порошковые, аэрозольные  и др.)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sz w:val="20"/>
              </w:rPr>
              <w:t xml:space="preserve"> электрическим пуском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с пневмоэлектрическим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rPr>
                <w:i/>
                <w:sz w:val="20"/>
              </w:rPr>
            </w:pPr>
            <w:r>
              <w:rPr>
                <w:sz w:val="20"/>
              </w:rPr>
              <w:t>пуском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rPr>
                <w:i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rPr>
                <w:i/>
                <w:sz w:val="20"/>
              </w:rPr>
            </w:pPr>
            <w:r>
              <w:rPr>
                <w:sz w:val="20"/>
              </w:rPr>
              <w:t xml:space="preserve">с пневматическим и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ручным пуском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таблицам 3, 5, 7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701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Стадия проекти</w:t>
            </w:r>
            <w:r>
              <w:rPr>
                <w:sz w:val="20"/>
              </w:rPr>
              <w:t>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Принципиальные технические решения, технико-экономический анализ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Автоматика и сигнализация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Автоматические установки пожарной и охранной сигнализации и системы управления  дымоудалением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 4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701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Стадия проектирования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Принципиальные технические решения, технико-экономический анализ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Автоматика и сигнализация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Системы оповещения людей о пожаре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 8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701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Стадия проектирования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Автоматика и сигнализация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Насосные станции установок пожаротушения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000000" w:rsidRDefault="00FC3655">
      <w:pPr>
        <w:spacing w:line="240" w:lineRule="auto"/>
        <w:ind w:left="0" w:firstLine="284"/>
        <w:rPr>
          <w:sz w:val="20"/>
        </w:rPr>
      </w:pPr>
    </w:p>
    <w:p w:rsidR="00000000" w:rsidRDefault="00FC3655">
      <w:pPr>
        <w:spacing w:line="240" w:lineRule="auto"/>
        <w:ind w:left="0" w:firstLine="284"/>
        <w:jc w:val="right"/>
        <w:rPr>
          <w:sz w:val="20"/>
        </w:rPr>
      </w:pPr>
      <w:r>
        <w:rPr>
          <w:sz w:val="20"/>
        </w:rPr>
        <w:t>К таблице 9</w:t>
      </w:r>
    </w:p>
    <w:p w:rsidR="00000000" w:rsidRDefault="00FC3655">
      <w:pPr>
        <w:spacing w:line="240" w:lineRule="auto"/>
        <w:ind w:lef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701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Стадия проектирования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Технологическая часть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Автоматика и сигнализация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Сметная документация</w:t>
            </w:r>
          </w:p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Привязка типовых проектов резервуаров хранения огнетушащего вещества для установок  водяного и пенного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3655">
            <w:pPr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000000" w:rsidRDefault="00FC3655">
      <w:pPr>
        <w:spacing w:line="240" w:lineRule="auto"/>
        <w:ind w:left="0" w:firstLine="284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655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00" w:lineRule="auto"/>
      <w:ind w:left="200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2411</Words>
  <Characters>13744</Characters>
  <Application>Microsoft Office Word</Application>
  <DocSecurity>0</DocSecurity>
  <Lines>114</Lines>
  <Paragraphs>32</Paragraphs>
  <ScaleCrop>false</ScaleCrop>
  <Company>Elcom Ltd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ГОССТРОЙ РОССИИ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