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3108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bookmarkStart w:id="0" w:name="_GoBack"/>
      <w:bookmarkEnd w:id="0"/>
      <w:r>
        <w:rPr>
          <w:b/>
          <w:sz w:val="20"/>
        </w:rPr>
        <w:t>МИНЗЕМСТРОЙ РОССИИ</w:t>
      </w: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ГП "ЦЕНТРИНВЕСТПРОЕКТ"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pStyle w:val="FR1"/>
        <w:spacing w:before="0"/>
        <w:ind w:left="0" w:firstLine="284"/>
        <w:jc w:val="center"/>
        <w:rPr>
          <w:sz w:val="20"/>
          <w:lang w:val="en-US"/>
        </w:rPr>
      </w:pPr>
      <w:r>
        <w:rPr>
          <w:sz w:val="20"/>
        </w:rPr>
        <w:t>СПРАВОЧНИК БАЗОВЫХ ЦЕН</w:t>
      </w:r>
    </w:p>
    <w:p w:rsidR="00000000" w:rsidRDefault="00083108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НА РАЗРАБОТКУ ТЕХНИЧЕСКОЙ ДОКУМЕНТАЦИИ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ДЛЯ КАПИТАЛЬНОГО РЕМОНТА СТРОИТЕЛЬНЫХ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КОНСТРУКЦИЙ ЗДАНИЙ И СООРУЖЕНИЙ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базовых цен на разработку технической документации для капитального</w:t>
      </w:r>
      <w:r>
        <w:rPr>
          <w:sz w:val="20"/>
        </w:rPr>
        <w:t xml:space="preserve"> ремонта строительных конструкций</w:t>
      </w:r>
      <w:r>
        <w:rPr>
          <w:sz w:val="20"/>
          <w:lang w:val="en-US"/>
        </w:rPr>
        <w:t xml:space="preserve"> </w:t>
      </w:r>
      <w:r>
        <w:rPr>
          <w:sz w:val="20"/>
        </w:rPr>
        <w:t>зданий и сооружений разработан ГП</w:t>
      </w:r>
      <w:r>
        <w:rPr>
          <w:sz w:val="20"/>
          <w:lang w:val="en-US"/>
        </w:rPr>
        <w:t xml:space="preserve"> </w:t>
      </w:r>
      <w:r>
        <w:rPr>
          <w:sz w:val="20"/>
        </w:rPr>
        <w:t>"ЦЕНТРИНВЕСТпроект"</w:t>
      </w:r>
      <w:r>
        <w:rPr>
          <w:sz w:val="20"/>
          <w:lang w:val="en-US"/>
        </w:rPr>
        <w:t xml:space="preserve"> </w:t>
      </w:r>
      <w:r>
        <w:rPr>
          <w:sz w:val="20"/>
        </w:rPr>
        <w:t>Минземстроя России и Акционерным обществом открытого типа</w:t>
      </w:r>
      <w:r>
        <w:rPr>
          <w:sz w:val="20"/>
          <w:lang w:val="en-US"/>
        </w:rPr>
        <w:t xml:space="preserve"> </w:t>
      </w:r>
      <w:r>
        <w:rPr>
          <w:sz w:val="20"/>
        </w:rPr>
        <w:t>"Проектный институт нефтяного и компрессорного машиностроения" (АООТ "Проектнефтеком").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рекомендуется к применению с 1 сентября 1998 г.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083108">
      <w:pPr>
        <w:spacing w:before="0" w:line="240" w:lineRule="auto"/>
        <w:ind w:firstLine="284"/>
        <w:rPr>
          <w:i/>
          <w:sz w:val="20"/>
          <w:lang w:val="en-US"/>
        </w:rPr>
      </w:pPr>
      <w:r>
        <w:rPr>
          <w:sz w:val="20"/>
        </w:rPr>
        <w:t xml:space="preserve">ГП "ЦЕНТРИНВЕСТпроект" Минземстроя России </w:t>
      </w:r>
      <w:r>
        <w:rPr>
          <w:i/>
          <w:sz w:val="20"/>
        </w:rPr>
        <w:t>(125057, г. Москва, Ленинградский пр. 63, тел. (095) 157-39-42, факс 157-46-51)</w:t>
      </w:r>
      <w:r>
        <w:rPr>
          <w:sz w:val="20"/>
        </w:rPr>
        <w:t>и АООТ "Про</w:t>
      </w:r>
      <w:r>
        <w:rPr>
          <w:sz w:val="20"/>
        </w:rPr>
        <w:t xml:space="preserve">ектнефтеком" </w:t>
      </w:r>
      <w:r>
        <w:rPr>
          <w:i/>
          <w:sz w:val="20"/>
        </w:rPr>
        <w:t>(125040, г. Москва, ул. Скаковая, д.32, тел. (095) 945-54-89, факс 945-63-90).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1. ОСНОВНЫЕ ПОЛОЖЕНИЯ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1.1. Справочник базовых цен на разработку технической документации для капитального ремонта строительных конструкций зданий и</w:t>
      </w:r>
      <w:r>
        <w:rPr>
          <w:sz w:val="20"/>
          <w:lang w:val="en-US"/>
        </w:rPr>
        <w:t xml:space="preserve"> </w:t>
      </w:r>
      <w:r>
        <w:rPr>
          <w:sz w:val="20"/>
        </w:rPr>
        <w:t>сооружений (далее именуемый Справочник) рекомендуется для определения базовых цен с целью последующего формирования договорных</w:t>
      </w:r>
      <w:r>
        <w:rPr>
          <w:sz w:val="20"/>
          <w:lang w:val="en-US"/>
        </w:rPr>
        <w:t xml:space="preserve"> </w:t>
      </w:r>
      <w:r>
        <w:rPr>
          <w:sz w:val="20"/>
        </w:rPr>
        <w:t>цен на разработку технической документации для капитального ремонта строительных конструкций зданий и сооружений гражданского и</w:t>
      </w:r>
      <w:r>
        <w:rPr>
          <w:sz w:val="20"/>
          <w:lang w:val="en-US"/>
        </w:rPr>
        <w:t xml:space="preserve"> </w:t>
      </w:r>
      <w:r>
        <w:rPr>
          <w:sz w:val="20"/>
        </w:rPr>
        <w:t>промышленного н</w:t>
      </w:r>
      <w:r>
        <w:rPr>
          <w:sz w:val="20"/>
        </w:rPr>
        <w:t>азначения.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1.2. Базовые цены в Справочнике установлены в зависимости от натуральных показателей объектов, подлежащих капитальному ремонту(строительного объема, категории сложности работ, категории сложности зданий и сооружений и др.) без учета налога на добавленную стоимость.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1.3. Справочник предназначен для применения организациями</w:t>
      </w:r>
      <w:r>
        <w:rPr>
          <w:sz w:val="20"/>
          <w:lang w:val="en-US"/>
        </w:rPr>
        <w:t xml:space="preserve"> </w:t>
      </w:r>
      <w:r>
        <w:rPr>
          <w:sz w:val="20"/>
        </w:rPr>
        <w:t>различных организационно-правовых форм, имеющих лицензию на</w:t>
      </w:r>
      <w:r>
        <w:rPr>
          <w:sz w:val="20"/>
          <w:lang w:val="en-US"/>
        </w:rPr>
        <w:t xml:space="preserve"> </w:t>
      </w:r>
      <w:r>
        <w:rPr>
          <w:sz w:val="20"/>
        </w:rPr>
        <w:t>выполнение соответствующих работ для строительства и имеющих согласно законодательству Российской Федерации статус юр</w:t>
      </w:r>
      <w:r>
        <w:rPr>
          <w:sz w:val="20"/>
        </w:rPr>
        <w:t>идического</w:t>
      </w:r>
      <w:r>
        <w:rPr>
          <w:sz w:val="20"/>
          <w:lang w:val="en-US"/>
        </w:rPr>
        <w:t xml:space="preserve"> </w:t>
      </w:r>
      <w:r>
        <w:rPr>
          <w:sz w:val="20"/>
        </w:rPr>
        <w:t>лица.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1.4. Цены в Справочнике учитывают все затраты, включаемые в</w:t>
      </w:r>
      <w:r>
        <w:rPr>
          <w:sz w:val="20"/>
          <w:lang w:val="en-US"/>
        </w:rPr>
        <w:t xml:space="preserve"> </w:t>
      </w:r>
      <w:r>
        <w:rPr>
          <w:sz w:val="20"/>
        </w:rPr>
        <w:t>состав себестоимости в соответствии с Методическими рекомендациями</w:t>
      </w:r>
      <w:r>
        <w:rPr>
          <w:sz w:val="20"/>
          <w:lang w:val="en-US"/>
        </w:rPr>
        <w:t xml:space="preserve"> </w:t>
      </w:r>
      <w:r>
        <w:rPr>
          <w:sz w:val="20"/>
        </w:rPr>
        <w:t>по составу и учету затрат, включаемых в себестоимость проектной и</w:t>
      </w:r>
      <w:r>
        <w:rPr>
          <w:sz w:val="20"/>
          <w:lang w:val="en-US"/>
        </w:rPr>
        <w:t xml:space="preserve"> </w:t>
      </w:r>
      <w:r>
        <w:rPr>
          <w:sz w:val="20"/>
        </w:rPr>
        <w:t>изыскательской продукции (работ, услуг)   для   строительства и</w:t>
      </w:r>
      <w:r>
        <w:rPr>
          <w:sz w:val="20"/>
          <w:lang w:val="en-US"/>
        </w:rPr>
        <w:t xml:space="preserve"> </w:t>
      </w:r>
      <w:r>
        <w:rPr>
          <w:sz w:val="20"/>
        </w:rPr>
        <w:t>формированию финансовых результатов, утвержденными Госстроем</w:t>
      </w:r>
      <w:r>
        <w:rPr>
          <w:sz w:val="20"/>
          <w:lang w:val="en-US"/>
        </w:rPr>
        <w:t xml:space="preserve"> </w:t>
      </w:r>
      <w:r>
        <w:rPr>
          <w:sz w:val="20"/>
        </w:rPr>
        <w:t>России 6 апреля 1994 года, и прибыль.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1.5. Уровень цен, содержащихся в Справочнике, установлен по состоянию на 01.01.95 г. с учетом масштаба цен, принятого с 01.01.98 г.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 опр</w:t>
      </w:r>
      <w:r>
        <w:rPr>
          <w:sz w:val="20"/>
        </w:rPr>
        <w:t>еделении базовой цены вводится повышающий коэффициент, учитывающий инфляционные процессы на момент определения цены.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1.6. Ценами настоящего Справочника не учтены: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• внесение изменений в техдокументацию, выданную заказчику;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• осуществление авторского надзора за выполнением работ по ремонту строительных конструкций;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• разработка вариантов проекта, выдаваемых предприятию по его</w:t>
      </w:r>
      <w:r>
        <w:rPr>
          <w:sz w:val="20"/>
          <w:lang w:val="en-US"/>
        </w:rPr>
        <w:t xml:space="preserve"> </w:t>
      </w:r>
      <w:r>
        <w:rPr>
          <w:sz w:val="20"/>
        </w:rPr>
        <w:t>просьбе;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• разработка деталировочных чертежей стальных конструкций</w:t>
      </w:r>
      <w:r>
        <w:rPr>
          <w:sz w:val="20"/>
          <w:lang w:val="en-US"/>
        </w:rPr>
        <w:t xml:space="preserve"> </w:t>
      </w:r>
      <w:r>
        <w:rPr>
          <w:sz w:val="20"/>
        </w:rPr>
        <w:t>марки КМД;</w:t>
      </w:r>
    </w:p>
    <w:p w:rsidR="00000000" w:rsidRDefault="00083108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• внесение изменени</w:t>
      </w:r>
      <w:r>
        <w:rPr>
          <w:sz w:val="20"/>
        </w:rPr>
        <w:t>й в техническую документацию, связанных с</w:t>
      </w:r>
      <w:r>
        <w:rPr>
          <w:sz w:val="20"/>
          <w:lang w:val="en-US"/>
        </w:rPr>
        <w:t xml:space="preserve"> </w:t>
      </w:r>
      <w:r>
        <w:rPr>
          <w:sz w:val="20"/>
        </w:rPr>
        <w:t>введением в действие новых нормативных документов.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2. ПОРЯДОК ОПРЕДЕЛЕНИЯ БАЗОВОЙ ЦЕНЫ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РАЗРАБОТКИ ТЕХНИЧЕСКОЙ ДОКУМЕНТАЦИИ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2.1. Базовая цена разработки технической документации, связанной</w:t>
      </w:r>
      <w:r>
        <w:rPr>
          <w:sz w:val="20"/>
          <w:lang w:val="en-US"/>
        </w:rPr>
        <w:t xml:space="preserve"> </w:t>
      </w:r>
      <w:r>
        <w:rPr>
          <w:sz w:val="20"/>
        </w:rPr>
        <w:t>с капитальным ремонтом строительных конструкций зданий и сооружений определяется в зависимости от строительного объема, высоты, категории сложности объекта и категории сложности работ: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lastRenderedPageBreak/>
        <w:t>по таблице 1 - для одноэтажных зданий;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по таблице 2 - для многоэтажных зданий.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Для зданий, сост</w:t>
      </w:r>
      <w:r>
        <w:rPr>
          <w:sz w:val="20"/>
        </w:rPr>
        <w:t>оящих из нескольких объемов с различными высотами или различными конструктивными схемами, базовая цена работ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определяется раздельно по каждому объему.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2.2. Категория сложности зданий и сооружений определяется по</w:t>
      </w:r>
      <w:r>
        <w:rPr>
          <w:sz w:val="20"/>
          <w:lang w:val="en-US"/>
        </w:rPr>
        <w:t xml:space="preserve"> </w:t>
      </w:r>
      <w:r>
        <w:rPr>
          <w:sz w:val="20"/>
        </w:rPr>
        <w:t>таблице 3.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2.3. Категория сложности работ определяется по таблице 4.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2.4. Базовая цена выполнения работ определяется с учетом процентного соотношения отдельных видов работ, приведенных в таблице 5.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2.5. При выполнении работ в сложных условиях к ценам на проектирование вводятся повышающие коэффициент</w:t>
      </w:r>
      <w:r>
        <w:rPr>
          <w:sz w:val="20"/>
        </w:rPr>
        <w:t>ы, приведенные в</w:t>
      </w:r>
      <w:r>
        <w:rPr>
          <w:sz w:val="20"/>
          <w:lang w:val="en-US"/>
        </w:rPr>
        <w:t xml:space="preserve"> </w:t>
      </w:r>
      <w:r>
        <w:rPr>
          <w:sz w:val="20"/>
        </w:rPr>
        <w:t>таблице 6.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2.6</w:t>
      </w:r>
      <w:r>
        <w:rPr>
          <w:i/>
          <w:sz w:val="20"/>
        </w:rPr>
        <w:t>.</w:t>
      </w:r>
      <w:r>
        <w:rPr>
          <w:sz w:val="20"/>
        </w:rPr>
        <w:t xml:space="preserve"> При выполнении технической документации для капитального ремонта в зданиях и сооружениях с малыми строительными объемами в расчет цены вводятся коэффициенты, приведенные в таблице 7.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2.7. Порядок определения строительного объема и высоты зданий</w:t>
      </w:r>
      <w:r>
        <w:rPr>
          <w:sz w:val="20"/>
          <w:lang w:val="en-US"/>
        </w:rPr>
        <w:t xml:space="preserve"> </w:t>
      </w:r>
      <w:r>
        <w:rPr>
          <w:sz w:val="20"/>
        </w:rPr>
        <w:t>и сооружений приведен в приложении к настоящему Справочнику.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2.8. Базовая цена работ для встроенных помещений определяется</w:t>
      </w:r>
      <w:r>
        <w:rPr>
          <w:sz w:val="20"/>
          <w:lang w:val="en-US"/>
        </w:rPr>
        <w:t xml:space="preserve"> </w:t>
      </w:r>
      <w:r>
        <w:rPr>
          <w:sz w:val="20"/>
        </w:rPr>
        <w:t>как для самостоятельного объема.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2.9. Составление рекомендаций по усилению или ремонту конструкций, отраженных </w:t>
      </w:r>
      <w:r>
        <w:rPr>
          <w:sz w:val="20"/>
        </w:rPr>
        <w:t>в пояснительной записке к проекту, без выполнения рабочих чертежей определяется в размере до 15% от цены разработки технической документации на капитальный ремонт соответствующих конструкций.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2.10. Справочник содержит цены на разработку технической документации для капитального ремонта строительных конструкций зданий и сооружений промышленного назначения, при этом цена работ для административно-бытовых зданий, заводоуправлений, столовых, проходных, конструкторских бюро и т.п. определяется с коэффициентом 1,</w:t>
      </w:r>
      <w:r>
        <w:rPr>
          <w:sz w:val="20"/>
        </w:rPr>
        <w:t>15, а для жилых и гражданских зданий — с коэффициентом 1,25.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2.11. При шаге основных несущих строительных конструкций менее 6 метров в расчет цены вводится коэффициент 1,25.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2.12. Базовая цена преддоговорных работ определяется в размере 4% от цены на выполнение технической документации на капитальный ремонт.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2.13. При определении базовой цены с применением нескольких коэффициентов общий корректирующий коэффициент определяется путем их перемножения.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  <w:sectPr w:rsidR="00000000">
          <w:pgSz w:w="11901" w:h="16817"/>
          <w:pgMar w:top="1440" w:right="1797" w:bottom="1440" w:left="1797" w:header="720" w:footer="720" w:gutter="0"/>
          <w:cols w:space="60"/>
          <w:noEndnote/>
        </w:sect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Цены на выполнение технической документации для капитальн</w:t>
      </w:r>
      <w:r>
        <w:rPr>
          <w:b/>
          <w:sz w:val="20"/>
        </w:rPr>
        <w:t>ого ремонта строительных конструкций одноэтажных зданий и сооружений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2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34,38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35,63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Цены на выполнение технической документации для капитального ремонта строительных конструкций многоэтажных зданий и сооружений</w:t>
      </w: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2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34,38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38,13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33,13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  <w:r>
              <w:rPr>
                <w:sz w:val="20"/>
              </w:rPr>
              <w:t>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797" w:right="1440" w:bottom="1797" w:left="1440" w:header="720" w:footer="720" w:gutter="0"/>
          <w:cols w:space="60"/>
          <w:noEndnote/>
        </w:sect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Категории сложности зданий и сооружений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здания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Одноэтажные здания</w:t>
            </w:r>
          </w:p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Однопролетные и двухпролетные бескаркасные, бескрановые здания или сооружения высотой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 здания и сооружения, не вошедшие в 1 и 3 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Здания каркасной конструкции с двухъярусным расположением мостовых (или консольных) кранов, либо здания, состоящие в плане из нескольких прямоугольников (более 3), ил</w:t>
            </w:r>
            <w:r>
              <w:rPr>
                <w:sz w:val="20"/>
              </w:rPr>
              <w:t>и криволинейных очертаний, или с большим количеством разнотипных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Многоэтажные здания</w:t>
            </w:r>
          </w:p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Здания прямоугольной формы в плане, с однотипными помещениями в пределах этажа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Здания, состоящие в плане из 2-3 прямоугольников, с разнотипными помещениями в пределах этажа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Здания, состоящие в плане из нескольких прямоугольников (более 3) или криволинейных очертаний, с разнотипными помещениями в пределах этажа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Категории сложности работ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r>
              <w:rPr>
                <w:sz w:val="20"/>
              </w:rPr>
              <w:t>технической документации по усилению строительных конструкций, находящихся в удовлетворительном состоянии, составление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Разработка технической документации по усилению и частичной замене строительных конструкций, находящихся в неудовлетворительном или в аварийном состоянии, составление расчетов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Процентное соотношение отдельных видов работ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 одноэтажные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 многоэтажные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 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Усиление фундаментов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Усиление или ремонт стен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Ремонт полов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Усиление колонн, столбов, стоек с заменой связей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Усиление подкрановых конструкций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 Усиление конструкций площадок и лестниц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 Усиление элементов перекрытий с частичной заменой конструкций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8. Усиление несущих конструкций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9. Усиление или частичная замена ограждающих конструкций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10. Усиление элементов крыши или совмещенного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11. Замена кровли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12. Замена окон, дверей, в</w:t>
            </w:r>
            <w:r>
              <w:rPr>
                <w:sz w:val="20"/>
              </w:rPr>
              <w:t>орот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 бескаркасные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13. Усиление фундаментов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14. Усиление или ремонт стен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15. Ремонт полов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16. Усиление элементов перекрытий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17. Усиление подкрановых конструкций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18. Усиление конструкций площадок и лестниц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19. Усиление несущих конструкций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20. Усиление или частичная замена ограждающих конструкций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!5,20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21. Усиление элементов крыши или совмещенного покрытия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22. Замена кровли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23. Замена окон, дверей, ворот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i/>
          <w:sz w:val="20"/>
          <w:u w:val="single"/>
        </w:rPr>
        <w:t>Примечание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Цена составления сметной документации учтена в размере 10% от цены технической документации на капитальный ремонт соответствующих строительных конструкций.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Повышающие факторы при выполнении работ в сложных условиях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Факторы, усложняющие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Здания, возведенные на вечномерзлых, просадочных, набухающих грунтах, над горными выработками, в подтапливаемых районах с карстовыми и оползневыми явлениями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Насыщенность оборудованием более 50% площади помещений, затрудняющая производство обмерно-обследовательских работ или выполнение обмеров и обследований в затрудненных условиях (захламленность, стесненность, частично разобраны полы и др.)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Выполнение работ в цехах с вредным для здоровья производством, с вибродинамическими воздействиями на конструкции здания, с выделением пара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Выполнение работ в неотапливаемых зданиях или его частях (чердаки, кровли, фасады и др.) в зимний период времени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 Выполнение работ в зданиях, являющихся памятником архитектуры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 Выполнение работ с мостового крана или подмостей, требующих использование дополнительных лестниц и различных приспособлений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7. Выполнение работ в цехах со слабой степенью агрессивного воздействия окружающей среды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8. То же, в цехах со средней степенью агрессивного воздействия окружающей среды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9. То же, в цехах с сильной степенью агрессивного воздействия окружающей среды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10, Конструкции, усиленные по ранее разраб</w:t>
            </w:r>
            <w:r>
              <w:rPr>
                <w:sz w:val="20"/>
              </w:rPr>
              <w:t>отанным проектам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11. Сейсмичность 7 баллов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12. Сейсмичность 8 баллов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13. Сейсмичность 9 баллов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Повышающие коэффициенты при выполнении работ в зданиях и сооружениях с малыми строительными объемами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3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9" w:type="dxa"/>
            <w:tcBorders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2000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9" w:type="dxa"/>
            <w:tcBorders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3000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99" w:type="dxa"/>
            <w:tcBorders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4000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99" w:type="dxa"/>
            <w:tcBorders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5000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св.5000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310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</w:t>
      </w:r>
    </w:p>
    <w:p w:rsidR="00000000" w:rsidRDefault="00083108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Порядок определения строительного объема и высоты здании в сооружении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i/>
          <w:sz w:val="20"/>
          <w:lang w:val="en-US"/>
        </w:rPr>
      </w:pPr>
      <w:r>
        <w:rPr>
          <w:i/>
          <w:sz w:val="20"/>
          <w:lang w:val="en-US"/>
        </w:rPr>
        <w:t>I</w:t>
      </w:r>
      <w:r>
        <w:rPr>
          <w:sz w:val="20"/>
        </w:rPr>
        <w:t xml:space="preserve">. </w:t>
      </w:r>
      <w:r>
        <w:rPr>
          <w:i/>
          <w:sz w:val="20"/>
        </w:rPr>
        <w:t>Строительный объем здания или сооружения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 Стр</w:t>
      </w:r>
      <w:r>
        <w:rPr>
          <w:sz w:val="20"/>
        </w:rPr>
        <w:t>оительный объем надземной части одноэтажных или многоэтажных зданий определяется умножением площади вертикального поперечного сечения по внешнему контуру стен и покрытия на длину здания, измеренную между наружными поверхностями торцевых стен на уровне первого этажа выше цоколя.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 Строительный объем светоаэрационных фонарей или куполов, выступающих над плоскостью кровли, определяется тем же методом (см. п. 1).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3. Строительный объем подземной части здания или сооружения определяется умножением горизонтальног</w:t>
      </w:r>
      <w:r>
        <w:rPr>
          <w:sz w:val="20"/>
        </w:rPr>
        <w:t>о сечения по внешнему контуру стен на уровне первого этажа по цоколю на высоту, измеренную от уровня чистого пола первого этажа до уровня пола подвала или цокольного этажа.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4. При определении отдельных объемов здания, отличающихся высотой, стена, разграничивающая часть здания, относится к той части, которой она соответствует по высоте или конструкции.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 За отдельный объем принимается часть здания, отличающаяся от примыкающей части высотой от пола до выступающей нижней части покрытия.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6. Строительный объем </w:t>
      </w:r>
      <w:r>
        <w:rPr>
          <w:sz w:val="20"/>
        </w:rPr>
        <w:t>открытых эстакад определяется умножением поперечного сечения эстакады по наружным граням колонн и самой высокой точки поперечника на длину эстакады. Высота принимается по уровню головки рельсов.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i/>
          <w:sz w:val="20"/>
        </w:rPr>
      </w:pPr>
      <w:r>
        <w:rPr>
          <w:i/>
          <w:sz w:val="20"/>
          <w:lang w:val="en-US"/>
        </w:rPr>
        <w:t>II</w:t>
      </w:r>
      <w:r>
        <w:rPr>
          <w:sz w:val="20"/>
        </w:rPr>
        <w:t xml:space="preserve">. </w:t>
      </w:r>
      <w:r>
        <w:rPr>
          <w:i/>
          <w:sz w:val="20"/>
        </w:rPr>
        <w:t>Определение высоты здания или сооружения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1. За высоту одноэтажных зданий и сооружений принимается расстояние от уровня чистого пола первого этажа или подвала до</w:t>
      </w:r>
      <w:r>
        <w:rPr>
          <w:sz w:val="20"/>
          <w:lang w:val="en-US"/>
        </w:rPr>
        <w:t xml:space="preserve"> </w:t>
      </w:r>
      <w:r>
        <w:rPr>
          <w:sz w:val="20"/>
        </w:rPr>
        <w:t>низа несущих конструкций покрытия или чердачного перекрытия на опоре.</w:t>
      </w:r>
    </w:p>
    <w:p w:rsidR="00000000" w:rsidRDefault="00083108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2. За высоту многоэтажных зданий и сооружений принимается</w:t>
      </w:r>
      <w:r>
        <w:rPr>
          <w:sz w:val="20"/>
          <w:lang w:val="en-US"/>
        </w:rPr>
        <w:t xml:space="preserve"> </w:t>
      </w:r>
      <w:r>
        <w:rPr>
          <w:sz w:val="20"/>
        </w:rPr>
        <w:t>расстояние от уровня ч</w:t>
      </w:r>
      <w:r>
        <w:rPr>
          <w:sz w:val="20"/>
        </w:rPr>
        <w:t>истого пола первого этажа или подвала</w:t>
      </w:r>
      <w:r>
        <w:rPr>
          <w:sz w:val="20"/>
          <w:lang w:val="en-US"/>
        </w:rPr>
        <w:t xml:space="preserve"> </w:t>
      </w:r>
      <w:r>
        <w:rPr>
          <w:sz w:val="20"/>
        </w:rPr>
        <w:t>до плоскости потолка последнего этажа (в том числе подвесного).</w:t>
      </w:r>
    </w:p>
    <w:p w:rsidR="00000000" w:rsidRDefault="00083108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083108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СОДЕРЖАНИЕ</w:t>
      </w:r>
    </w:p>
    <w:p w:rsidR="00000000" w:rsidRDefault="00083108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2. Порядок определения базовой цены разработки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технической документации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1. Цены на выполнение технической документации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для капитального ремонта строительных конструкций одноэтажных зданий и сооружений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2. Цены на выполнение технической документации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для капитального ремонта строительных конструкций многоэтажных зданий и сооружений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3. Категория сло</w:t>
      </w:r>
      <w:r>
        <w:rPr>
          <w:sz w:val="20"/>
        </w:rPr>
        <w:t xml:space="preserve">жности зданий и сооружений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Таблица 4. Категория сложности работ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5. Процентное соотношение отдельных видов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работ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6. Повышающие коэффициенты при выполнении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работ в сложных условиях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7. Повышающие коэффициенты при выполнении</w:t>
      </w:r>
      <w:r>
        <w:rPr>
          <w:sz w:val="20"/>
          <w:lang w:val="en-US"/>
        </w:rPr>
        <w:t xml:space="preserve"> </w:t>
      </w:r>
      <w:r>
        <w:rPr>
          <w:sz w:val="20"/>
        </w:rPr>
        <w:t>работ в зданиях и сооружениях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с малыми строительными объемами </w:t>
      </w:r>
    </w:p>
    <w:p w:rsidR="00000000" w:rsidRDefault="00083108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Приложение. Порядок определения строительного объема 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высоты зданий и сооружений </w:t>
      </w: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108"/>
    <w:rsid w:val="000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60" w:line="260" w:lineRule="auto"/>
      <w:ind w:firstLine="36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60"/>
      <w:ind w:left="680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2160</Words>
  <Characters>12315</Characters>
  <Application>Microsoft Office Word</Application>
  <DocSecurity>0</DocSecurity>
  <Lines>102</Lines>
  <Paragraphs>28</Paragraphs>
  <ScaleCrop>false</ScaleCrop>
  <Company>Elcom Ltd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