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95A">
      <w:pPr>
        <w:ind w:firstLine="284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 xml:space="preserve">МИНЗЕМСТРОЙ РОССИИ </w:t>
      </w:r>
    </w:p>
    <w:p w:rsidR="00000000" w:rsidRDefault="0011595A">
      <w:pPr>
        <w:ind w:firstLine="284"/>
        <w:jc w:val="center"/>
        <w:rPr>
          <w:sz w:val="20"/>
        </w:rPr>
      </w:pPr>
      <w:r>
        <w:rPr>
          <w:b/>
          <w:sz w:val="20"/>
        </w:rPr>
        <w:t>ГП "ЦЕНТРИНВЕСТпроект"</w:t>
      </w:r>
    </w:p>
    <w:p w:rsidR="00000000" w:rsidRDefault="0011595A">
      <w:pPr>
        <w:ind w:firstLine="284"/>
        <w:jc w:val="center"/>
        <w:rPr>
          <w:b/>
          <w:sz w:val="20"/>
        </w:rPr>
      </w:pPr>
    </w:p>
    <w:p w:rsidR="00000000" w:rsidRDefault="0011595A">
      <w:pPr>
        <w:ind w:firstLine="284"/>
        <w:jc w:val="center"/>
        <w:rPr>
          <w:b/>
          <w:sz w:val="20"/>
        </w:rPr>
      </w:pPr>
    </w:p>
    <w:p w:rsidR="00000000" w:rsidRDefault="0011595A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СПРАВОЧНИК БАЗОВЫХ ЦЕН</w:t>
      </w:r>
    </w:p>
    <w:p w:rsidR="00000000" w:rsidRDefault="0011595A">
      <w:pPr>
        <w:ind w:firstLine="284"/>
        <w:jc w:val="center"/>
        <w:rPr>
          <w:b/>
          <w:sz w:val="24"/>
        </w:rPr>
      </w:pPr>
    </w:p>
    <w:p w:rsidR="00000000" w:rsidRDefault="0011595A">
      <w:pPr>
        <w:ind w:firstLine="284"/>
        <w:jc w:val="center"/>
        <w:rPr>
          <w:b/>
        </w:rPr>
      </w:pPr>
      <w:r>
        <w:rPr>
          <w:b/>
        </w:rPr>
        <w:t xml:space="preserve">НА РАЗРАБОТКУ КОНСТРУКТОРСКОЙ ДОКУМЕНТАЦИИ </w:t>
      </w:r>
    </w:p>
    <w:p w:rsidR="00000000" w:rsidRDefault="0011595A">
      <w:pPr>
        <w:ind w:firstLine="284"/>
        <w:jc w:val="center"/>
        <w:rPr>
          <w:b/>
        </w:rPr>
      </w:pPr>
      <w:r>
        <w:rPr>
          <w:b/>
        </w:rPr>
        <w:t>ОБОРУДОВАНИЯ ИНДИВИДУАЛЬНОГО ИЗГОТОВЛЕНИЯ</w:t>
      </w:r>
    </w:p>
    <w:p w:rsidR="00000000" w:rsidRDefault="0011595A">
      <w:pPr>
        <w:ind w:firstLine="284"/>
        <w:jc w:val="center"/>
        <w:rPr>
          <w:sz w:val="20"/>
        </w:rPr>
      </w:pPr>
    </w:p>
    <w:p w:rsidR="00000000" w:rsidRDefault="0011595A">
      <w:pPr>
        <w:ind w:firstLine="284"/>
        <w:jc w:val="center"/>
        <w:rPr>
          <w:sz w:val="20"/>
        </w:rPr>
      </w:pPr>
      <w:r>
        <w:rPr>
          <w:sz w:val="20"/>
        </w:rPr>
        <w:t xml:space="preserve">Согласован с Комитетом РФ по машиностроению </w:t>
      </w:r>
    </w:p>
    <w:p w:rsidR="00000000" w:rsidRDefault="0011595A">
      <w:pPr>
        <w:ind w:firstLine="284"/>
        <w:jc w:val="center"/>
        <w:rPr>
          <w:sz w:val="20"/>
        </w:rPr>
      </w:pPr>
      <w:r>
        <w:rPr>
          <w:sz w:val="20"/>
        </w:rPr>
        <w:t>14.10.96 г, №8/3-4-271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Справочник базовых цен на разр</w:t>
      </w:r>
      <w:r>
        <w:rPr>
          <w:sz w:val="20"/>
        </w:rPr>
        <w:t>аботку конструкторской документации оборудования индивидуального изготовления разработан ГП "ЦЕНТРИНВЕСТпроект" Минземстроя России и ЗАО "ПромтрансНИИпроект".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Справочник рекомендуется к применению с 1 сентября 1998 года.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Разъяснения и консультации по вопросам применения настоящего Справочника осуществляют: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ГП "ЦЕНТРИНВЕСТпроект" - </w:t>
      </w:r>
      <w:r>
        <w:rPr>
          <w:i/>
          <w:sz w:val="20"/>
        </w:rPr>
        <w:t>125957, г. Москва, Ленинградский пр. 63, тел. (095) 157-3942,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ЗАО "ПромтрансНИИпроект" - </w:t>
      </w:r>
      <w:r>
        <w:rPr>
          <w:i/>
          <w:sz w:val="20"/>
        </w:rPr>
        <w:t>117831, г. Москва, пр. Вернадского, 29, тел. (095) 138-1295.</w:t>
      </w:r>
    </w:p>
    <w:p w:rsidR="00000000" w:rsidRDefault="0011595A">
      <w:pPr>
        <w:ind w:firstLine="284"/>
        <w:jc w:val="both"/>
        <w:rPr>
          <w:b/>
          <w:sz w:val="20"/>
        </w:rPr>
      </w:pPr>
    </w:p>
    <w:p w:rsidR="00000000" w:rsidRDefault="0011595A">
      <w:pPr>
        <w:ind w:firstLine="284"/>
        <w:jc w:val="both"/>
        <w:rPr>
          <w:b/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ОСНОВНЫЕ ПОЛОЖЕНИЯ</w:t>
      </w:r>
    </w:p>
    <w:p w:rsidR="00000000" w:rsidRDefault="0011595A">
      <w:pPr>
        <w:ind w:firstLine="284"/>
        <w:jc w:val="center"/>
        <w:rPr>
          <w:i/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1.1.</w:t>
      </w:r>
      <w:r>
        <w:rPr>
          <w:sz w:val="20"/>
        </w:rPr>
        <w:t xml:space="preserve"> Справочник базовых цен на разработку конструкторской документации оборудования индивидуального изготовления (далее именуемый "Справочник") рекомендуется для определения базовых цен с целью последующего формирования договорных цен на разработку конструкторской документации оборудования индивидуального изготовления (КДОИИ) для строящихся, реконструируемых и технически перевооружаемых предприятий, зданий и сооружений.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1.2. Цены на разработку КДОИИ установлены на формат чертежа (листа) или строку текстового до</w:t>
      </w:r>
      <w:r>
        <w:rPr>
          <w:sz w:val="20"/>
        </w:rPr>
        <w:t>кумента без налога на добавленную стоимость.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имеющих лицензию на разработку конструкторской документации оборудования индивидуального изготовления.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"Положением о составе затрат по производству и реализации продукции (работ, услуг), включаемых в себестоимость продукции (работ, услуг) и о порядке формирования финансо</w:t>
      </w:r>
      <w:r>
        <w:rPr>
          <w:sz w:val="20"/>
        </w:rPr>
        <w:t>вых результатов, учитываемых при налогообложении прибыли", утвержденным Правительством РФ постановлением от 5 августа 1992 г. № 552 (кроме затрат на служебные командировки).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1.5. Цены, приведенные в Справочнике, установлены в соответствии с требованиями Единой системы конструкторской документации (ЕСКД).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1.6. Ценами Справочника не учтены: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опытно-конструкторские работы;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• участие в проведении испытаний, корректировка КДОИИ опытных образцов.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</w:t>
      </w:r>
      <w:r>
        <w:rPr>
          <w:sz w:val="20"/>
        </w:rPr>
        <w:t>7. Ценами Справочника учтены затраты на: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конструкторский контроль;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нормоконтроль текстового документа;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нормоконтроль чертежа;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технологический контроль;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сверка копии с оригиналом.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1.8. В Справочнике принята классификация оборудования по 6-ти группам сложности и 5-ти группам новизны.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1.8.1. Классификация каждой группы сложности оборудования производится по одному из следующих признаков: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а). Функциональное описание изделия. По этому признаку может классифицироваться разработка КДОИИ в целом;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б). Коли</w:t>
      </w:r>
      <w:r>
        <w:rPr>
          <w:sz w:val="20"/>
        </w:rPr>
        <w:t>чество размеров чертежа. По этому признаку может классифицироваться разработка чертежей общего вида, теоретического, габаритного и монтажного, а также чертеж детали;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в). Количество деталей, входящих в сборочный чертеж. По этому признаку классифицируется сборочный чертеж;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г). Количество элементов схемы. По этому признаку классифицируются схемы электрические, гидравлические, пневматические и кинематические.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Характеристика групп сложности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сложности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групп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Простое механическо</w:t>
            </w:r>
            <w:r>
              <w:rPr>
                <w:sz w:val="20"/>
              </w:rPr>
              <w:t xml:space="preserve">е изделие.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размеров на чертеже до 12.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до 12.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до 13.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Изделие, включающее в себя несколько самостоятельных узлов, сравнительно простых по конструкции.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размеров на чертеже 13-21.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13-26.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14-27.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Изделие, имеющее электрические, гидравлические (пневматические) узлы, большое число элементов взаимодействия и связи.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размеров на чертеже 22-35.</w:t>
            </w:r>
            <w:r>
              <w:rPr>
                <w:sz w:val="20"/>
              </w:rPr>
              <w:t xml:space="preserve">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27-59.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28-37.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 полуавтоматического или автоматического типа, в котором полностью или частично автоматизированы сложные рабочие и вспомогательные процессы. Количество размеров на чертеже 36-60.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60-131.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38-50.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Изделие со сложной системой контроля, автоматические поточные линии, содержащие новые виды оборудования, системы управления и регулирования. Количество ра</w:t>
            </w:r>
            <w:r>
              <w:rPr>
                <w:sz w:val="20"/>
              </w:rPr>
              <w:t xml:space="preserve">змеров на чертеже 61-103.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132-295.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51-68.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 особой сложности с электронными системами, требующее поисковых научно-исследовательских работ.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размеров на чертеже 104 и более.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деталей в сборочном чертеже 296 и более.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элементов схемы 69 и более.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1.8.2. Классификация каждой группы новизны оборудования производится по одному из следующих признаков: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а). Функциональное описание изделия. По этому признак</w:t>
      </w:r>
      <w:r>
        <w:rPr>
          <w:sz w:val="20"/>
        </w:rPr>
        <w:t>у может классифицироваться разработка КДОИИ изделия в целом;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б). Количество показателей технического уровня и качества изделия (в соответствии с ГОСТ 2.116-71), которые указываются в техническом задании (ТЗ) на разработку КДОИИ.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Характеристика групп новизны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70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новизны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Характеристика групп новизны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Изделие, не имеющее существенных конструктивных изменений по сравнению с аналогом.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показателей технического уровня и качества изделия до 20.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Изделие, предусматривающее модификацию аналога с </w:t>
            </w:r>
            <w:r>
              <w:rPr>
                <w:sz w:val="20"/>
              </w:rPr>
              <w:t xml:space="preserve">использованием </w:t>
            </w:r>
            <w:r>
              <w:rPr>
                <w:sz w:val="20"/>
              </w:rPr>
              <w:lastRenderedPageBreak/>
              <w:t xml:space="preserve">унифицированных элементов и нормализованных деталей и узлов.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показателей технического уровня и качества изделия 21-30.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 с новыми конструктивными и технологическими решениями по сравнению с аналогом.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показателей технического уровня и качества изделия 31-44.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Изделие со всеми новыми параметрами по сравнению с аналогом, требующее экспериментальной проверки отдельных составных частей.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показателей технического уровня и качества изделия 45-74.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Изде</w:t>
            </w:r>
            <w:r>
              <w:rPr>
                <w:sz w:val="20"/>
              </w:rPr>
              <w:t xml:space="preserve">лие, предусматривающее применение принципиально новых процессов или методов работы, требующее экспериментальной проверки всех составных частей и их взаимодействия в заданных параметрах. </w:t>
            </w:r>
          </w:p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показателей технического уровня и качества изделия 75 и более.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sz w:val="20"/>
        </w:rPr>
        <w:t xml:space="preserve">2 </w:t>
      </w:r>
      <w:r>
        <w:rPr>
          <w:b/>
          <w:i/>
          <w:sz w:val="20"/>
        </w:rPr>
        <w:t>ПОРЯДОК ОПРЕДЕЛЕНИЯ БАЗОВОЙ ЦЕНЫ НА РАЗРАБОТКУ КОНСТРУКТОРСКОЙ ДОКУМЕНТАЦИИ</w:t>
      </w:r>
    </w:p>
    <w:p w:rsidR="00000000" w:rsidRDefault="0011595A">
      <w:pPr>
        <w:ind w:firstLine="284"/>
        <w:jc w:val="center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2.1. В Справочнике приведены цены на разработку КДОИИ в соответствии с ГОСТ 2.103-68 в следующих стадиях: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техническое предложение;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эскизный проект;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технический прое</w:t>
      </w:r>
      <w:r>
        <w:rPr>
          <w:sz w:val="20"/>
        </w:rPr>
        <w:t>кт;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- рабочая документация.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2.2. Базовая цена разработки конструкторской документации определяется раздельно по каждому виду КДОИИ соответствующей стадии разработки по формуле: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b/>
          <w:i/>
          <w:sz w:val="24"/>
        </w:rPr>
      </w:pPr>
      <w:r>
        <w:rPr>
          <w:b/>
          <w:i/>
          <w:sz w:val="24"/>
        </w:rPr>
        <w:t>Ц</w:t>
      </w:r>
      <w:r>
        <w:rPr>
          <w:b/>
          <w:i/>
          <w:sz w:val="24"/>
          <w:vertAlign w:val="subscript"/>
        </w:rPr>
        <w:t>б</w:t>
      </w:r>
      <w:r>
        <w:rPr>
          <w:b/>
          <w:sz w:val="24"/>
        </w:rPr>
        <w:t xml:space="preserve"> = </w:t>
      </w:r>
      <w:r>
        <w:rPr>
          <w:b/>
          <w:i/>
          <w:sz w:val="24"/>
        </w:rPr>
        <w:t xml:space="preserve">Ц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т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ф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у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с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л</w:t>
      </w:r>
      <w:r>
        <w:rPr>
          <w:b/>
          <w:i/>
          <w:sz w:val="24"/>
        </w:rPr>
        <w:t xml:space="preserve"> </w:t>
      </w:r>
      <w:r>
        <w:rPr>
          <w:b/>
          <w:i/>
          <w:sz w:val="24"/>
        </w:rPr>
        <w:sym w:font="Symbol" w:char="F0D7"/>
      </w:r>
      <w:r>
        <w:rPr>
          <w:b/>
          <w:i/>
          <w:sz w:val="24"/>
        </w:rPr>
        <w:t xml:space="preserve"> К</w:t>
      </w:r>
      <w:r>
        <w:rPr>
          <w:b/>
          <w:i/>
          <w:sz w:val="24"/>
          <w:vertAlign w:val="subscript"/>
        </w:rPr>
        <w:t>и</w:t>
      </w:r>
      <w:r>
        <w:rPr>
          <w:b/>
          <w:i/>
          <w:sz w:val="24"/>
        </w:rPr>
        <w:t xml:space="preserve"> ,</w:t>
      </w:r>
      <w:r>
        <w:rPr>
          <w:i/>
          <w:sz w:val="20"/>
        </w:rPr>
        <w:t xml:space="preserve"> где</w:t>
      </w:r>
    </w:p>
    <w:p w:rsidR="00000000" w:rsidRDefault="0011595A">
      <w:pPr>
        <w:ind w:firstLine="284"/>
        <w:jc w:val="both"/>
        <w:rPr>
          <w:b/>
          <w:i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72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Ц</w:t>
            </w:r>
            <w:r>
              <w:rPr>
                <w:b/>
                <w:i/>
                <w:sz w:val="24"/>
                <w:vertAlign w:val="subscript"/>
              </w:rPr>
              <w:t xml:space="preserve">б </w:t>
            </w:r>
            <w:r>
              <w:rPr>
                <w:b/>
                <w:i/>
                <w:sz w:val="24"/>
                <w:vertAlign w:val="subscript"/>
              </w:rPr>
              <w:sym w:font="Symbol" w:char="F0BE"/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базовая цена разработки соответствующего вида КДОИИ;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Ц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  <w:lang w:val="en-US"/>
              </w:rPr>
              <w:t>—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цена разработки КДОИИ (таблица 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z w:val="24"/>
                <w:vertAlign w:val="subscript"/>
              </w:rPr>
              <w:t xml:space="preserve">т </w:t>
            </w:r>
            <w:r>
              <w:rPr>
                <w:i/>
                <w:sz w:val="20"/>
              </w:rPr>
              <w:t>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коэффициент трудоемкости изделия (таблицы 2-8);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ф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i/>
                <w:sz w:val="20"/>
              </w:rPr>
            </w:pPr>
            <w:r>
              <w:rPr>
                <w:sz w:val="20"/>
              </w:rPr>
              <w:t>коэффициент на формат чертежа (таблица 9);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у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на особые условия исполнения КДОИИ (таблица 10);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>с</w:t>
            </w:r>
            <w:r>
              <w:rPr>
                <w:i/>
                <w:sz w:val="20"/>
              </w:rPr>
              <w:t xml:space="preserve"> 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 ста</w:t>
            </w:r>
            <w:r>
              <w:rPr>
                <w:sz w:val="20"/>
              </w:rPr>
              <w:t>дийности разработки КДОИИ (таблица 11);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 xml:space="preserve">л </w:t>
            </w: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количество чертежей (листов), строк текста соответствующего вида КДОИИ;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</w:tcPr>
          <w:p w:rsidR="00000000" w:rsidRDefault="0011595A">
            <w:pPr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</w:t>
            </w:r>
            <w:r>
              <w:rPr>
                <w:b/>
                <w:i/>
                <w:sz w:val="20"/>
                <w:vertAlign w:val="subscript"/>
              </w:rPr>
              <w:t xml:space="preserve">и </w:t>
            </w:r>
            <w:r>
              <w:rPr>
                <w:b/>
                <w:i/>
                <w:sz w:val="20"/>
              </w:rPr>
              <w:t>—</w:t>
            </w:r>
          </w:p>
        </w:tc>
        <w:tc>
          <w:tcPr>
            <w:tcW w:w="7286" w:type="dxa"/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коэффициент, отражающий инфляционные процессы на момент определения цены.</w:t>
            </w:r>
          </w:p>
        </w:tc>
      </w:tr>
    </w:tbl>
    <w:p w:rsidR="00000000" w:rsidRDefault="0011595A">
      <w:pPr>
        <w:ind w:firstLine="284"/>
        <w:jc w:val="both"/>
        <w:rPr>
          <w:i/>
          <w:sz w:val="20"/>
        </w:rPr>
      </w:pPr>
    </w:p>
    <w:p w:rsidR="00000000" w:rsidRDefault="0011595A">
      <w:pPr>
        <w:ind w:firstLine="284"/>
        <w:jc w:val="both"/>
        <w:rPr>
          <w:sz w:val="18"/>
        </w:rPr>
      </w:pPr>
      <w:r>
        <w:rPr>
          <w:b/>
          <w:i/>
          <w:sz w:val="18"/>
        </w:rPr>
        <w:t xml:space="preserve">Примечание. </w:t>
      </w:r>
      <w:r>
        <w:rPr>
          <w:sz w:val="18"/>
        </w:rPr>
        <w:t>Цены установлены по состоянию на 01.01.95 г. в масштабе цен, принятом с 01.01.98 г.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3. ЦЕНЫ НА РАЗРАБОТКУ КОНСТРУКТОРСКОЙ ДОКУМЕНТАЦИИ</w:t>
      </w:r>
    </w:p>
    <w:p w:rsidR="00000000" w:rsidRDefault="0011595A">
      <w:pPr>
        <w:ind w:firstLine="284"/>
        <w:jc w:val="center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1121"/>
        <w:gridCol w:w="2744"/>
        <w:gridCol w:w="1509"/>
        <w:gridCol w:w="135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КД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документа </w:t>
            </w:r>
          </w:p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или работы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Цена, руб.</w:t>
            </w:r>
          </w:p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(Ц)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табл.</w:t>
            </w:r>
          </w:p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(К</w:t>
            </w:r>
            <w:r>
              <w:rPr>
                <w:i/>
                <w:sz w:val="20"/>
                <w:vertAlign w:val="subscript"/>
              </w:rPr>
              <w:t>т</w:t>
            </w:r>
            <w:r>
              <w:rPr>
                <w:i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</w:p>
        </w:tc>
        <w:tc>
          <w:tcPr>
            <w:tcW w:w="2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Чертеж сборочный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общего вида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</w:t>
            </w:r>
            <w:r>
              <w:rPr>
                <w:sz w:val="20"/>
              </w:rPr>
              <w:t>мата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ТЧ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теоретический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ГЧ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габаритный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МЧ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монтажный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Symbol" w:char="F0BE"/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детали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 формата А4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СЭ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Схема электрическая: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принципиальная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формата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структурная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  </w:t>
            </w:r>
            <w:r>
              <w:rPr>
                <w:sz w:val="20"/>
              </w:rPr>
              <w:t>(функциональная)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соединений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(подключений)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СГ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Схема гидравлическая,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пневматическая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СК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Схема кинематическая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Спецификация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Строка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РР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Расчет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Лист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Пояснительная записка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формата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ДЭ, ДР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Докуме</w:t>
            </w:r>
            <w:r>
              <w:rPr>
                <w:sz w:val="20"/>
              </w:rPr>
              <w:t>нт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ТЗ</w:t>
            </w:r>
          </w:p>
        </w:tc>
        <w:tc>
          <w:tcPr>
            <w:tcW w:w="27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Техническое задание</w:t>
            </w:r>
          </w:p>
        </w:tc>
        <w:tc>
          <w:tcPr>
            <w:tcW w:w="15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2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Заявка на изобретение</w:t>
            </w:r>
          </w:p>
        </w:tc>
        <w:tc>
          <w:tcPr>
            <w:tcW w:w="15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sym w:font="Symbol" w:char="F0B2"/>
            </w:r>
            <w:r>
              <w:rPr>
                <w:sz w:val="20"/>
                <w:lang w:val="en-US"/>
              </w:rPr>
              <w:t>-</w:t>
            </w:r>
          </w:p>
        </w:tc>
        <w:tc>
          <w:tcPr>
            <w:tcW w:w="1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3.1. Коэффициент трудоемкости оборудования</w:t>
      </w:r>
      <w:r>
        <w:rPr>
          <w:sz w:val="20"/>
          <w:lang w:val="en-US"/>
        </w:rPr>
        <w:t xml:space="preserve"> </w:t>
      </w:r>
      <w:r>
        <w:rPr>
          <w:i/>
          <w:sz w:val="20"/>
          <w:lang w:val="en-US"/>
        </w:rPr>
        <w:t>(K</w:t>
      </w:r>
      <w:r>
        <w:rPr>
          <w:i/>
          <w:sz w:val="20"/>
          <w:vertAlign w:val="subscript"/>
          <w:lang w:val="en-US"/>
        </w:rPr>
        <w:t>m</w:t>
      </w:r>
      <w:r>
        <w:rPr>
          <w:i/>
          <w:sz w:val="20"/>
          <w:lang w:val="en-US"/>
        </w:rPr>
        <w:t>)</w:t>
      </w:r>
      <w:r>
        <w:rPr>
          <w:sz w:val="20"/>
        </w:rPr>
        <w:t xml:space="preserve"> определяется по таблицам 2-8: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а) для сборочного чертежа (к пункту 1 таблицы 1):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2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09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новизны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б) для чертежа общего вида и детали (к пунктам 2, 6 таблицы 1):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09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</w:t>
            </w:r>
            <w:r>
              <w:rPr>
                <w:sz w:val="20"/>
              </w:rPr>
              <w:t>уппа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новизны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Коэффициенты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  <w:r>
              <w:rPr>
                <w:i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в) для чертежей теоретического, габаритного и монтажного (к пунктам 3, 4, 5 таблицы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4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094"/>
        <w:gridCol w:w="1134"/>
        <w:gridCol w:w="1134"/>
        <w:gridCol w:w="1134"/>
        <w:gridCol w:w="113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новизны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67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0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г) для схем электр</w:t>
      </w:r>
      <w:r>
        <w:rPr>
          <w:sz w:val="20"/>
        </w:rPr>
        <w:t>ических (к пунктам 7-9 таблицы 1):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5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2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сложности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Коэффициенты </w:t>
            </w:r>
            <w:r>
              <w:rPr>
                <w:i/>
                <w:sz w:val="20"/>
              </w:rPr>
              <w:t>К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для схем гидравлических, пневматических и кинематических (к пунктам 10,11 таблицы</w:t>
      </w:r>
      <w:r>
        <w:rPr>
          <w:sz w:val="20"/>
          <w:lang w:val="en-US"/>
        </w:rPr>
        <w:t xml:space="preserve"> </w:t>
      </w:r>
      <w:r>
        <w:rPr>
          <w:sz w:val="20"/>
        </w:rPr>
        <w:t>1</w:t>
      </w:r>
      <w:r>
        <w:rPr>
          <w:sz w:val="20"/>
          <w:lang w:val="en-US"/>
        </w:rPr>
        <w:t>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6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1418"/>
        <w:gridCol w:w="1417"/>
        <w:gridCol w:w="1418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</w:tbl>
    <w:p w:rsidR="00000000" w:rsidRDefault="0011595A">
      <w:pPr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е</w:t>
      </w:r>
      <w:proofErr w:type="spellEnd"/>
      <w:r>
        <w:rPr>
          <w:sz w:val="20"/>
        </w:rPr>
        <w:t>) для подготовки, проведения и оформления технических, технико-экономических и сметных расчетов (к пункту 13 таблицы 1):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7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560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новизны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K</w:t>
            </w:r>
            <w:r>
              <w:rPr>
                <w:i/>
                <w:sz w:val="20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ж) для разработки </w:t>
      </w:r>
      <w:r>
        <w:rPr>
          <w:sz w:val="20"/>
        </w:rPr>
        <w:t>пояснительной записки на всех стадиях разработки КДОИИ и других текстовых документов применяется следующий коэффициент (к пунктам 14-17 таблицы 1):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8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1560"/>
        <w:gridCol w:w="17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 новизны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Коэффициенты </w:t>
            </w:r>
            <w:r>
              <w:rPr>
                <w:i/>
                <w:sz w:val="20"/>
              </w:rPr>
              <w:t>К</w:t>
            </w:r>
            <w:r>
              <w:rPr>
                <w:i/>
                <w:sz w:val="20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3.2. Если чертеж или другая конструкторская документация выполняется на листе формата, отличающегося от формата, указанного в таблице 1, (позиции 1-11), к цене применяется поправочный коэффициент </w:t>
      </w:r>
      <w:r>
        <w:rPr>
          <w:i/>
          <w:sz w:val="20"/>
        </w:rPr>
        <w:t>(К</w:t>
      </w:r>
      <w:r>
        <w:rPr>
          <w:i/>
          <w:sz w:val="20"/>
          <w:vertAlign w:val="subscript"/>
        </w:rPr>
        <w:t>ф</w:t>
      </w:r>
      <w:r>
        <w:rPr>
          <w:i/>
          <w:sz w:val="20"/>
        </w:rPr>
        <w:t>)</w:t>
      </w:r>
      <w:r>
        <w:rPr>
          <w:sz w:val="20"/>
        </w:rPr>
        <w:t xml:space="preserve"> в зависимости от фактического формата листа (таблица 9).</w:t>
      </w:r>
    </w:p>
    <w:p w:rsidR="00000000" w:rsidRDefault="0011595A">
      <w:pPr>
        <w:ind w:firstLine="284"/>
        <w:jc w:val="right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9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0"/>
        <w:gridCol w:w="1312"/>
        <w:gridCol w:w="1276"/>
        <w:gridCol w:w="1417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Формат по </w:t>
            </w:r>
          </w:p>
        </w:tc>
        <w:tc>
          <w:tcPr>
            <w:tcW w:w="7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Факти</w:t>
            </w:r>
            <w:r>
              <w:rPr>
                <w:sz w:val="20"/>
              </w:rPr>
              <w:t>ческий формат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таблице 1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71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К</w:t>
            </w:r>
            <w:r>
              <w:rPr>
                <w:i/>
                <w:sz w:val="20"/>
                <w:vertAlign w:val="subscript"/>
              </w:rPr>
              <w:t>ф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А4 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1,0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А2</w:t>
            </w:r>
          </w:p>
        </w:tc>
        <w:tc>
          <w:tcPr>
            <w:tcW w:w="13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А1</w:t>
            </w:r>
          </w:p>
        </w:tc>
        <w:tc>
          <w:tcPr>
            <w:tcW w:w="13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3.3. К ценам Справочника применяется поправочный коэффициент </w:t>
      </w:r>
      <w:r>
        <w:rPr>
          <w:i/>
          <w:sz w:val="20"/>
        </w:rPr>
        <w:t>(К</w:t>
      </w:r>
      <w:r>
        <w:rPr>
          <w:i/>
          <w:sz w:val="20"/>
          <w:vertAlign w:val="subscript"/>
        </w:rPr>
        <w:t>у</w:t>
      </w:r>
      <w:r>
        <w:rPr>
          <w:i/>
          <w:sz w:val="20"/>
        </w:rPr>
        <w:t>)</w:t>
      </w:r>
      <w:r>
        <w:rPr>
          <w:sz w:val="20"/>
        </w:rPr>
        <w:t xml:space="preserve"> при разработке КДОИИ в следующих особых условиях: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10</w:t>
      </w:r>
    </w:p>
    <w:p w:rsidR="00000000" w:rsidRDefault="0011595A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5020"/>
        <w:gridCol w:w="2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Особые условия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</w:t>
            </w:r>
            <w:r>
              <w:rPr>
                <w:i/>
                <w:sz w:val="20"/>
              </w:rPr>
              <w:t>К</w:t>
            </w:r>
            <w:r>
              <w:rPr>
                <w:i/>
                <w:sz w:val="20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0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Разработка КДОИИ на экспорт</w:t>
            </w:r>
          </w:p>
        </w:tc>
        <w:tc>
          <w:tcPr>
            <w:tcW w:w="2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0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Унификация типоразмеров деталей и узлов</w:t>
            </w:r>
          </w:p>
        </w:tc>
        <w:tc>
          <w:tcPr>
            <w:tcW w:w="27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0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Разработка КДОИИ с привязкой к действующим сооружениям и технологическим линиям</w:t>
            </w:r>
          </w:p>
        </w:tc>
        <w:tc>
          <w:tcPr>
            <w:tcW w:w="2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3.4. Если техн</w:t>
      </w:r>
      <w:r>
        <w:rPr>
          <w:sz w:val="20"/>
        </w:rPr>
        <w:t>ическим заданием предусмотрена стадийность, отличающаяся от приведенной в п. 2.1 настоящего Справочника, к ценам применяется поправочный коэффициент (</w:t>
      </w:r>
      <w:r>
        <w:rPr>
          <w:i/>
          <w:sz w:val="20"/>
        </w:rPr>
        <w:t>К</w:t>
      </w:r>
      <w:r>
        <w:rPr>
          <w:i/>
          <w:sz w:val="20"/>
          <w:vertAlign w:val="subscript"/>
        </w:rPr>
        <w:t>с</w:t>
      </w:r>
      <w:r>
        <w:rPr>
          <w:sz w:val="20"/>
        </w:rPr>
        <w:t>) в соответствии с таблицей 11.</w:t>
      </w: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right"/>
        <w:rPr>
          <w:sz w:val="20"/>
        </w:rPr>
      </w:pPr>
      <w:r>
        <w:rPr>
          <w:sz w:val="20"/>
        </w:rPr>
        <w:t>Таблица 11</w:t>
      </w:r>
    </w:p>
    <w:p w:rsidR="00000000" w:rsidRDefault="0011595A">
      <w:pPr>
        <w:ind w:firstLine="284"/>
        <w:jc w:val="both"/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077"/>
        <w:gridCol w:w="1077"/>
        <w:gridCol w:w="10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r>
              <w:rPr>
                <w:sz w:val="20"/>
              </w:rPr>
              <w:t>п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Стадии разработки КДОИИ</w:t>
            </w:r>
          </w:p>
        </w:tc>
        <w:tc>
          <w:tcPr>
            <w:tcW w:w="43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стадийности </w:t>
            </w:r>
            <w:r>
              <w:rPr>
                <w:i/>
                <w:sz w:val="20"/>
              </w:rPr>
              <w:t>К</w:t>
            </w:r>
            <w:r>
              <w:rPr>
                <w:i/>
                <w:sz w:val="20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заданных стадий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Техническое предложение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Эскизный проект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Технический проект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left w:val="nil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7" w:type="dxa"/>
            <w:tcBorders>
              <w:left w:val="nil"/>
            </w:tcBorders>
          </w:tcPr>
          <w:p w:rsidR="00000000" w:rsidRDefault="0011595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</w:tbl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</w:p>
    <w:p w:rsidR="00000000" w:rsidRDefault="0011595A">
      <w:pPr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11595A">
      <w:pPr>
        <w:ind w:firstLine="284"/>
        <w:jc w:val="center"/>
        <w:rPr>
          <w:sz w:val="20"/>
        </w:rPr>
      </w:pP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2. Порядок определения базовой цены на разработку конструк</w:t>
      </w:r>
      <w:r>
        <w:rPr>
          <w:sz w:val="20"/>
        </w:rPr>
        <w:t>торской документации</w:t>
      </w:r>
    </w:p>
    <w:p w:rsidR="00000000" w:rsidRDefault="0011595A">
      <w:pPr>
        <w:ind w:firstLine="284"/>
        <w:jc w:val="both"/>
        <w:rPr>
          <w:sz w:val="20"/>
        </w:rPr>
      </w:pPr>
      <w:r>
        <w:rPr>
          <w:sz w:val="20"/>
        </w:rPr>
        <w:t>3. Цены на разработку конструкторской документации</w:t>
      </w:r>
    </w:p>
    <w:p w:rsidR="00000000" w:rsidRDefault="0011595A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595A"/>
    <w:rsid w:val="001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1653</Words>
  <Characters>9428</Characters>
  <Application>Microsoft Office Word</Application>
  <DocSecurity>0</DocSecurity>
  <Lines>78</Lines>
  <Paragraphs>22</Paragraphs>
  <ScaleCrop>false</ScaleCrop>
  <Company>Elcom Ltd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МИНЗЕМСТРОЙ РОССИИ 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