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5E8F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МИНЗЕМСТРОЙ РОССИИ </w:t>
      </w:r>
    </w:p>
    <w:p w:rsidR="00000000" w:rsidRDefault="00605E8F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ГП "ЦЕНТРИНВЕСТпроект"</w:t>
      </w:r>
    </w:p>
    <w:p w:rsidR="00000000" w:rsidRDefault="00605E8F">
      <w:pPr>
        <w:ind w:firstLine="284"/>
        <w:jc w:val="center"/>
        <w:rPr>
          <w:sz w:val="20"/>
        </w:rPr>
      </w:pPr>
    </w:p>
    <w:p w:rsidR="00000000" w:rsidRDefault="00605E8F">
      <w:pPr>
        <w:ind w:firstLine="284"/>
        <w:jc w:val="center"/>
        <w:rPr>
          <w:sz w:val="20"/>
        </w:rPr>
      </w:pPr>
      <w:r>
        <w:rPr>
          <w:b/>
          <w:sz w:val="20"/>
        </w:rPr>
        <w:t>ПРАКТИЧЕСКОЕ  ПОСОБИЕ</w:t>
      </w:r>
    </w:p>
    <w:p w:rsidR="00000000" w:rsidRDefault="00605E8F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 ПРИМЕНЕНИЮ СПРАВОЧНИКА БАЗОВЫХ ЦЕН </w:t>
      </w:r>
    </w:p>
    <w:p w:rsidR="00000000" w:rsidRDefault="00605E8F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НА РАЗРАБОТКУ КОНСТРУКТОРСКОЙ ДОКУМЕНТАЦИИ </w:t>
      </w:r>
    </w:p>
    <w:p w:rsidR="00000000" w:rsidRDefault="00605E8F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ОБОРУДОВАНИЯ ИНДИВИДУАЛЬНОГО ИЗГОТОВЛЕНИЯ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Практическое пособие по применению Справочника базовых цен на ра</w:t>
      </w:r>
      <w:r>
        <w:rPr>
          <w:sz w:val="20"/>
        </w:rPr>
        <w:t>зработку конструкторской документации оборудования индивидуального изготовления составлено ГП "ЦЕНТРИНВЕСТпроект" Минземстроя России и ЗАО "ПромтрансНИИпроект".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Справочник согласован с Комитетом Российской Федерации по машиностроению и рекомендуется к применению с 1 сентября 1998 г. взамен Ценника на разработку проектными организациями Госстроя СССР конструкторской документации для изготовления нестандартизированного оборудования, издания 1987 года.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В настоящем пособии приводятся: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• разъяснения о порядке оп</w:t>
      </w:r>
      <w:r>
        <w:rPr>
          <w:sz w:val="20"/>
        </w:rPr>
        <w:t>ределения базовой цены на разработку конструкторской документации оборудования индивидуального изготовления (КДОИИ);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• примерный перечень оборудования по группам сложности.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Цены, приведенные в Справочнике, установлены в соответствии с требованиями Единой системы конструкторской документации (ЕСКД):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а) стадии разработки КДОИИ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2.103-68;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б) виды и комплектность КДОИИ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2.102-68;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в) состав и объемы работ по стадиям разработки КДОИИ приняты: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для стадии "Техническое предложение"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2.118-73 -</w:t>
            </w:r>
            <w:r>
              <w:rPr>
                <w:sz w:val="20"/>
              </w:rPr>
              <w:t xml:space="preserve"> пояснительная записка, ведомость технического предложения;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для стадии "Эскизный проект"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2.119-73-пояснительная записка, ведомость эскизного проекта;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для стадии "Технический проект"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2.120-73-чертеж общего вида, пояснительная записка, ведомость технического проекта;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для стадии "Рабочая документация"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2.109-73 - чертеж детали, сборочный чертеж, спецификация;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г) виды КДОИИ, рекомендованные для выполнения на стадиях разработки: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чертежи: теоретический, габаритный, монтажный;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>
              <w:rPr>
                <w:sz w:val="20"/>
              </w:rPr>
              <w:t>хемы: электрические, гидравлические, пневматические, кинематические - ГОСТ 2.701-68;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ведомости: спецификаций, ссылочных документов, покупных изделий, согласования применения покупных изделий, держателей подлинников;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технические условия; программа и методика испытаний;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таблицы; расчеты;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документы: эксплуатационные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2.602-68;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Ремонтные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2.601-68;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состав технического задания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15.001-88;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) состав карты технического уровня и качества продукции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2.1</w:t>
            </w:r>
            <w:r>
              <w:rPr>
                <w:sz w:val="20"/>
              </w:rPr>
              <w:t>16-71;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ж) состав и виды работ по патентным исследованиям</w:t>
            </w:r>
          </w:p>
        </w:tc>
        <w:tc>
          <w:tcPr>
            <w:tcW w:w="3600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- ГОСТ 15.011-82.</w:t>
            </w:r>
          </w:p>
        </w:tc>
      </w:tr>
    </w:tbl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sz w:val="20"/>
        </w:rPr>
        <w:t xml:space="preserve">. </w:t>
      </w:r>
      <w:r>
        <w:rPr>
          <w:b/>
          <w:i/>
          <w:sz w:val="20"/>
        </w:rPr>
        <w:t xml:space="preserve">Разъяснения по пунктам основных положений и порядка определения </w:t>
      </w: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базовой цены на разработку конструкторской документации</w:t>
      </w: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оборудования индивидуального изготовления</w:t>
      </w:r>
    </w:p>
    <w:p w:rsidR="00000000" w:rsidRDefault="00605E8F">
      <w:pPr>
        <w:ind w:firstLine="284"/>
        <w:jc w:val="center"/>
        <w:rPr>
          <w:sz w:val="20"/>
        </w:rPr>
      </w:pPr>
    </w:p>
    <w:p w:rsidR="00000000" w:rsidRDefault="00605E8F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1.6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В базовую цену не входит цена выполнения работ, сопутствующих разработке опытных образцов, а именно: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научно-исследовательские и опытно-конструкторские работы, участие в проведении испытаний и корректировка опытных образцов КДОИИ.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 xml:space="preserve">Цены на такие работы </w:t>
      </w:r>
      <w:r>
        <w:rPr>
          <w:sz w:val="20"/>
        </w:rPr>
        <w:t xml:space="preserve">рекомендуется определять от общей цены разработки КДОИИ. При </w:t>
      </w:r>
      <w:r>
        <w:rPr>
          <w:sz w:val="20"/>
        </w:rPr>
        <w:lastRenderedPageBreak/>
        <w:t>этом в общую цену разработки КДОИИ входит сумма цен всех стадий разработки, регламентированных техническим заданием (ТЗ).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Базовые цены на работы, </w:t>
      </w: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сопутствующие разработке опытных образцов</w:t>
      </w:r>
    </w:p>
    <w:p w:rsidR="00000000" w:rsidRDefault="00605E8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13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цена разработки КДОИИ (проценты)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 xml:space="preserve">Планирование, исполнение и отчет по НИР и ОКР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Одно изделие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испытании и отладке опытного образца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"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Корректировка КДОИИ после испытания опытн</w:t>
            </w:r>
            <w:r>
              <w:rPr>
                <w:sz w:val="20"/>
              </w:rPr>
              <w:t xml:space="preserve">ого образца при внесении изменений в конструкцию: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до 20%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- от 20% до 40%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- от 40% до 50%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- от 50% до 60%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- свыше 60%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5E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</w:tbl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Затраты на служебные командировки оплачиваются заказчиком по фактическим затратам, произведенным организацией, в том числе и затраты административного персонала, если командировки этого персонала непосредственно связаны с разработкой КДОИИ.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2.2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1. Базовая цена разработки КДОИИ определяется отдельно по каждому виду докум</w:t>
      </w:r>
      <w:r>
        <w:rPr>
          <w:sz w:val="20"/>
        </w:rPr>
        <w:t>ентации или работе и по каждой стадии проектирования по формуле: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с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  <w:r>
        <w:rPr>
          <w:b/>
          <w:i/>
          <w:sz w:val="24"/>
        </w:rPr>
        <w:t xml:space="preserve"> ,</w:t>
      </w:r>
      <w:r>
        <w:rPr>
          <w:i/>
          <w:sz w:val="20"/>
        </w:rPr>
        <w:t xml:space="preserve"> где</w:t>
      </w:r>
    </w:p>
    <w:p w:rsidR="00000000" w:rsidRDefault="00605E8F">
      <w:pPr>
        <w:ind w:firstLine="284"/>
        <w:jc w:val="both"/>
        <w:rPr>
          <w:b/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05E8F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Ц</w:t>
            </w:r>
            <w:r>
              <w:rPr>
                <w:b/>
                <w:i/>
                <w:sz w:val="24"/>
                <w:vertAlign w:val="subscript"/>
              </w:rPr>
              <w:t xml:space="preserve">б </w:t>
            </w:r>
            <w:r>
              <w:rPr>
                <w:b/>
                <w:i/>
                <w:sz w:val="24"/>
                <w:vertAlign w:val="subscript"/>
              </w:rPr>
              <w:sym w:font="Symbol" w:char="F0BE"/>
            </w:r>
          </w:p>
        </w:tc>
        <w:tc>
          <w:tcPr>
            <w:tcW w:w="7427" w:type="dxa"/>
          </w:tcPr>
          <w:p w:rsidR="00000000" w:rsidRDefault="00605E8F">
            <w:pPr>
              <w:rPr>
                <w:i/>
                <w:sz w:val="20"/>
              </w:rPr>
            </w:pPr>
            <w:r>
              <w:rPr>
                <w:sz w:val="20"/>
              </w:rPr>
              <w:t>Базовая цена разработки соответствующего вида КДОИИ;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05E8F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Ц </w:t>
            </w:r>
            <w:r>
              <w:rPr>
                <w:i/>
                <w:sz w:val="20"/>
                <w:lang w:val="en-US"/>
              </w:rPr>
              <w:t>—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427" w:type="dxa"/>
          </w:tcPr>
          <w:p w:rsidR="00000000" w:rsidRDefault="00605E8F">
            <w:pPr>
              <w:rPr>
                <w:i/>
                <w:sz w:val="20"/>
              </w:rPr>
            </w:pPr>
            <w:r>
              <w:rPr>
                <w:sz w:val="20"/>
              </w:rPr>
              <w:t>Цена разработки КДОИИ соответствующего чертежа, листа, схемы, ведомости, таблицы и т.п., определенная по таблице 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05E8F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  <w:vertAlign w:val="subscript"/>
              </w:rPr>
              <w:t xml:space="preserve">т </w:t>
            </w:r>
            <w:r>
              <w:rPr>
                <w:i/>
                <w:sz w:val="20"/>
              </w:rPr>
              <w:t>—</w:t>
            </w:r>
          </w:p>
        </w:tc>
        <w:tc>
          <w:tcPr>
            <w:tcW w:w="7427" w:type="dxa"/>
          </w:tcPr>
          <w:p w:rsidR="00000000" w:rsidRDefault="00605E8F">
            <w:pPr>
              <w:rPr>
                <w:i/>
                <w:sz w:val="20"/>
              </w:rPr>
            </w:pPr>
            <w:r>
              <w:rPr>
                <w:sz w:val="20"/>
              </w:rPr>
              <w:t>Коэффициент трудоемкости изделий, определенный по таблицам 2-8;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05E8F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>ф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427" w:type="dxa"/>
          </w:tcPr>
          <w:p w:rsidR="00000000" w:rsidRDefault="00605E8F">
            <w:pPr>
              <w:rPr>
                <w:i/>
                <w:sz w:val="20"/>
              </w:rPr>
            </w:pPr>
            <w:r>
              <w:rPr>
                <w:sz w:val="20"/>
              </w:rPr>
              <w:t>Коэффициент на формат чертежа, определенный по таблице 9;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05E8F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>у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427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Коэффициент на особые условия исполнения КДОИИ, определенный по таблице 10;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05E8F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>с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427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 xml:space="preserve">Коэффициент стадийности разработки КДОИИ, определенный по таблице 11;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05E8F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 xml:space="preserve">л </w:t>
            </w: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7427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Количество чертежей (листов), строк текста разрабатываемой КДОИИ на каждой стадии;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05E8F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 xml:space="preserve">и </w:t>
            </w: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7427" w:type="dxa"/>
          </w:tcPr>
          <w:p w:rsidR="00000000" w:rsidRDefault="00605E8F">
            <w:pPr>
              <w:rPr>
                <w:sz w:val="20"/>
              </w:rPr>
            </w:pPr>
            <w:r>
              <w:rPr>
                <w:sz w:val="20"/>
              </w:rPr>
              <w:t>Повышающий коэффициент, отражающий инфляционные процессы на момент определения цены.</w:t>
            </w:r>
          </w:p>
        </w:tc>
      </w:tr>
    </w:tbl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Цены (таблица 1 Справочника), установлены по состоянию на 01.01.95 года, в масштабе цен, принятом с 01.01.98 г.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 xml:space="preserve">Повышающий коэффициент 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и</w:t>
      </w:r>
      <w:r>
        <w:rPr>
          <w:sz w:val="20"/>
        </w:rPr>
        <w:t>, отражающий инфляционные процессы, может определяться по письму Минземстроя России, действующему на момент определения це</w:t>
      </w:r>
      <w:r>
        <w:rPr>
          <w:sz w:val="20"/>
        </w:rPr>
        <w:t>ны.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1.1. Базовая цена разработки КДОИИ при 4-х стадийном проектировании, согласно таблице 11, определяется следующим образом.</w:t>
      </w:r>
    </w:p>
    <w:p w:rsidR="00000000" w:rsidRDefault="00605E8F">
      <w:pPr>
        <w:ind w:firstLine="284"/>
        <w:jc w:val="both"/>
        <w:rPr>
          <w:i/>
          <w:sz w:val="20"/>
        </w:rPr>
      </w:pPr>
      <w:r>
        <w:rPr>
          <w:sz w:val="20"/>
        </w:rPr>
        <w:t xml:space="preserve">Цена технического предложения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  <w:r>
        <w:rPr>
          <w:i/>
          <w:sz w:val="20"/>
        </w:rPr>
        <w:t xml:space="preserve"> </w:t>
      </w:r>
    </w:p>
    <w:p w:rsidR="00000000" w:rsidRDefault="00605E8F">
      <w:pPr>
        <w:ind w:firstLine="284"/>
        <w:jc w:val="both"/>
        <w:rPr>
          <w:i/>
          <w:sz w:val="20"/>
        </w:rPr>
      </w:pPr>
      <w:r>
        <w:rPr>
          <w:sz w:val="20"/>
        </w:rPr>
        <w:t xml:space="preserve">Цена эскизного проекта        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i/>
          <w:sz w:val="20"/>
        </w:rPr>
      </w:pPr>
      <w:r>
        <w:rPr>
          <w:sz w:val="20"/>
        </w:rPr>
        <w:t xml:space="preserve">Цена технического проекта  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 xml:space="preserve">Цена рабочей документации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1.2. Базовая цена разработки КДОИИ при 3</w:t>
      </w:r>
      <w:r>
        <w:rPr>
          <w:sz w:val="20"/>
        </w:rPr>
        <w:t>-х стадийном проектировании, исключающем стадию "техническое предложение", определяется следующим образом:</w:t>
      </w:r>
    </w:p>
    <w:p w:rsidR="00000000" w:rsidRDefault="00605E8F">
      <w:pPr>
        <w:ind w:firstLine="284"/>
        <w:jc w:val="both"/>
        <w:rPr>
          <w:i/>
          <w:sz w:val="20"/>
        </w:rPr>
      </w:pPr>
      <w:r>
        <w:rPr>
          <w:sz w:val="20"/>
        </w:rPr>
        <w:lastRenderedPageBreak/>
        <w:t xml:space="preserve">Цена эскизного проекта         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1,2)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i/>
          <w:sz w:val="20"/>
        </w:rPr>
      </w:pPr>
      <w:r>
        <w:rPr>
          <w:sz w:val="20"/>
        </w:rPr>
        <w:t xml:space="preserve">Цена технического проекта   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Цена рабочей документации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1.3. Базовая цена разработки КДОИИ при 2-х стадийном проектировании, исключающем стадии "техническое предложение" и "эскизный проект", опр</w:t>
      </w:r>
      <w:r>
        <w:rPr>
          <w:sz w:val="20"/>
        </w:rPr>
        <w:t>еделяется следующим образом:</w:t>
      </w:r>
    </w:p>
    <w:p w:rsidR="00000000" w:rsidRDefault="00605E8F">
      <w:pPr>
        <w:ind w:firstLine="284"/>
        <w:jc w:val="both"/>
        <w:rPr>
          <w:i/>
          <w:sz w:val="20"/>
        </w:rPr>
      </w:pPr>
      <w:r>
        <w:rPr>
          <w:sz w:val="20"/>
        </w:rPr>
        <w:t xml:space="preserve">Цена технического проекта  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1,5)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 xml:space="preserve">Цена рабочей документации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1.4. Базовая цена разработки КДОИИ при одностадийном проектировании, исключающем стадии "техническое предложение", "эскизный проект" и "технический проект", определяется следующим образом:</w:t>
      </w:r>
    </w:p>
    <w:p w:rsidR="00000000" w:rsidRDefault="00605E8F">
      <w:pPr>
        <w:ind w:firstLine="284"/>
        <w:jc w:val="both"/>
        <w:rPr>
          <w:b/>
          <w:i/>
          <w:sz w:val="24"/>
          <w:vertAlign w:val="subscript"/>
        </w:rPr>
      </w:pPr>
      <w:r>
        <w:rPr>
          <w:sz w:val="20"/>
        </w:rPr>
        <w:t xml:space="preserve">Цена рабочей документации                  </w:t>
      </w: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0"/>
        </w:rPr>
        <w:t>(К</w:t>
      </w:r>
      <w:r>
        <w:rPr>
          <w:b/>
          <w:i/>
          <w:sz w:val="20"/>
          <w:vertAlign w:val="subscript"/>
        </w:rPr>
        <w:t>с</w:t>
      </w:r>
      <w:r>
        <w:rPr>
          <w:b/>
          <w:i/>
          <w:sz w:val="20"/>
        </w:rPr>
        <w:t xml:space="preserve"> = 1,8)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2. Дополнительные затраты, связа</w:t>
      </w:r>
      <w:r>
        <w:rPr>
          <w:b/>
          <w:i/>
          <w:sz w:val="20"/>
        </w:rPr>
        <w:t>нные с разработкой конструкторской документации организациями, расположенными в районах Крайнего Севера и приравненных к ним отдаленных местностях и других районах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Затраты проектных организаций, расположенных в районах, в которых производятся в соответствии с действующим законодательством выплаты, обусловленные районным регулированием оплаты труда, в том числе выплаты по районным коэффициентам и коэффициентам за работу в пустынных, безводных и высокогорных местностях, а также надбавки к заработной плате за</w:t>
      </w:r>
      <w:r>
        <w:rPr>
          <w:sz w:val="20"/>
        </w:rPr>
        <w:t xml:space="preserve"> непрерывный стаж работы и другие льготы, предусмотренные законодательством, в районах Крайнего Севера и приравненных к ним местностях, в районах Европейского Севера и других районах с тяжелыми природно-климатическими условиями определяются на конструкторские работы дополнительно к базовой цене путем введения к итогу базовой цены повышающих коэффициентов, установленных на основании соответствующих обосновывающих расчетов, выполняемых самой проектной организацией.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3. Передача конструкторской документации.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Базовой ценой разработки конструкторской документации оборудования индивидуального изготовления предусмотрена передача заказчику документации в 4-х экземплярах. Дополнительные экземпляры передаются по договорной цене.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4. Примерный перечень оборудования </w:t>
      </w: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индивидуального изготовления по группам сложности</w:t>
      </w:r>
    </w:p>
    <w:p w:rsidR="00000000" w:rsidRDefault="00605E8F">
      <w:pPr>
        <w:ind w:firstLine="284"/>
        <w:jc w:val="center"/>
        <w:rPr>
          <w:sz w:val="20"/>
        </w:rPr>
      </w:pPr>
    </w:p>
    <w:p w:rsidR="00000000" w:rsidRDefault="00605E8F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Группа 1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Аппараты направляющие для вентиляционных систем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Аэраторы пневматические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Бункеры металлические без специальных устройств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Водомаслоотделители простые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Воздухосборники без внутренних устройств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Грязеви</w:t>
      </w:r>
      <w:r>
        <w:rPr>
          <w:sz w:val="20"/>
        </w:rPr>
        <w:t>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Рефлекторы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Емкости без внутренних устройств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Завесы тепловые и воздушные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Кабины и столы сварщиков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Камеры вентиляционные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Колпаки воздушные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Конструкции опорные, напольные, настенные и подвесные простые сварные, не требующие расчетов на прочность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Кронштейны под электрооборудование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Лазы газоотводов, пылеуловителей, воздухонагревателей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Ловушки стальные, гуммированные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Манжеты воздушные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Насадки для факельных выбросов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Отсосы местные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Панели для установки воздушных фильтров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Патрубки заборные с решетками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Пер</w:t>
      </w:r>
      <w:r>
        <w:rPr>
          <w:sz w:val="20"/>
        </w:rPr>
        <w:t xml:space="preserve">есыпные устройства без перегибов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Поддоны плоские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Полиспасты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Раковины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Решетки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Сетки плоские ручные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Стеллажи простые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Стенды простые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Укрытия технологического оборудования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датчиков, шунтов, фотоэлементов и др.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Ширмы стационарные и переносные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Шумоглушители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b/>
          <w:sz w:val="20"/>
          <w:u w:val="single"/>
        </w:rPr>
      </w:pPr>
    </w:p>
    <w:p w:rsidR="00000000" w:rsidRDefault="00605E8F">
      <w:pPr>
        <w:ind w:firstLine="284"/>
        <w:jc w:val="center"/>
        <w:rPr>
          <w:b/>
          <w:sz w:val="20"/>
          <w:u w:val="single"/>
        </w:rPr>
      </w:pPr>
    </w:p>
    <w:p w:rsidR="00000000" w:rsidRDefault="00605E8F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Группа 2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Аппараты емкостные с подвижными внутренними устройствами, работающие без давления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Аэрожелоба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Барабаны голтовочные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Брызгалки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Бункера с механическими затворами и устройствами для свободообрушения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Ванны с внутренними устройствами, </w:t>
      </w:r>
      <w:r>
        <w:rPr>
          <w:sz w:val="20"/>
        </w:rPr>
        <w:t>подогревом и охлаждением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Виброизолирующие основания под оборудование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Вилки разогревательные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Воздухонагреватели, воздухосушители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Воздухоочистители, воздухораспределители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Водоподогреватели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Газоотделители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Гидрозатворы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Гидро- и пневмоцилиндры без аппаратуры управления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Горны стационарные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Грохоты и решетки вибрационные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Грузозахватные, грузонесущие устройства простые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Датчики уровня осадка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Дозаторы объемные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Душевые установки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Емкости, работающие под давлением или вакуумом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Емкости с мешалками и другими подвижными уст</w:t>
      </w:r>
      <w:r>
        <w:rPr>
          <w:sz w:val="20"/>
        </w:rPr>
        <w:t>ройствами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Калориферы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Камеры моечные, сушильные, окрасочные простые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Камеры-кондиционеры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Камеры осадительные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Камеры пескоструйные, дробеструйные с неприводным столом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Кантователи с ручным приводом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Коллекторы водяные, паровые, аспирационные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Колонки управления задвижками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Конструкции многоярусные опорные, требующие расчетов на прочность, жесткость, устойчивость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Контейнеры складывающиеся и герметичные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Лебедки ручные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Ловители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Люкоподъемники ручные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Мерники простые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Механизмы для открывания и закрывания окон, дверей, </w:t>
      </w:r>
      <w:r>
        <w:rPr>
          <w:sz w:val="20"/>
        </w:rPr>
        <w:t>ворот с ручным приводом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Мешалки ручные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Модули тонкостенные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Оборудование системы аспирации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Отсосы подвижные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Отстойники шламовых вод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Переводы стрелочные железнодорожные и монорельсовые ручные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Площадки подъемные и передвижные с ручным приводом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Плужковые сбрасыватели с ручным приводом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Поворотные круги с ручным приводом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Приспособления станочные с ручным зажимом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Рамы виброизолирующие для</w:t>
      </w:r>
      <w:r>
        <w:rPr>
          <w:sz w:val="20"/>
          <w:lang w:val="en-US"/>
        </w:rPr>
        <w:t xml:space="preserve"> </w:t>
      </w:r>
      <w:r>
        <w:rPr>
          <w:sz w:val="20"/>
        </w:rPr>
        <w:t>насосов</w:t>
      </w:r>
      <w:r>
        <w:rPr>
          <w:sz w:val="20"/>
          <w:lang w:val="en-US"/>
        </w:rPr>
        <w:t xml:space="preserve"> è </w:t>
      </w:r>
      <w:r>
        <w:rPr>
          <w:sz w:val="20"/>
        </w:rPr>
        <w:t>в</w:t>
      </w:r>
      <w:r>
        <w:rPr>
          <w:sz w:val="20"/>
          <w:lang w:val="en-US"/>
        </w:rPr>
        <w:t xml:space="preserve">åíòèëÿòîðîâ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Решетки щелевые регулируемые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Рольганги неприводные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Смесители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Сопла разного назначения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Спуски винтовы</w:t>
      </w:r>
      <w:r>
        <w:rPr>
          <w:sz w:val="20"/>
        </w:rPr>
        <w:t xml:space="preserve">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Стеллажи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Стенды испытательные немеханизированные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Столы поворотные, подъемные с ручным приводом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Столы сварочные с отсосом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Тележки ручные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Токосъемные устройства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Трубки Пито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Трубопроводы повышенного давления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Трубы Вентуры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Трубы-коагуляторы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Увлажнительные устройства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Указатели уровня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промывочные для аккумуляторных батарей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промывочные для трубопроводов тепловозов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осевых и центробежных вентиляторов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Устройства перегрузочные и распределительные для сыпуч</w:t>
      </w:r>
      <w:r>
        <w:rPr>
          <w:sz w:val="20"/>
        </w:rPr>
        <w:t xml:space="preserve">их материалов с ручным приводом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Фильтры грубой очистки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Циклоны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Шиберы с ручным приводом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Штативы для размещения приборов КИП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Элементы сантехсистем, содержащие подвижные части с ручным приводом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Группа 3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Агрегаты для обезжиривания изделий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Агрегаты приточно-рециркуляционные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Аппараты резервуарного типа с подвижными внутренними устройствами, работающие под давлением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Барабаны сушильные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Бойлерные установки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Бревнотаски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Бункеры самоходные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Вариаторы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Вибраторы пневматические и гидравлические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Гидротранспортеры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Гид</w:t>
      </w:r>
      <w:r>
        <w:rPr>
          <w:sz w:val="20"/>
        </w:rPr>
        <w:t>рофильтры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Гидроциклоны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Гидроэлеваторы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Грузозахватные устройства механизированные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Дозаторы весовые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Дробеструйные установки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Душ аварийный гигиенический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Емкости с подогревом или охлаждением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Известегасилки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Кабельные барабаны с механизмом разгрузки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Карманы всасывающие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Камеры для металлизации распылением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Камеры распылительные и моечные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Камеры сушильные, охладительные, песко-и дробеструйные механизированные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Кантователи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Классификаторы песка гидравлические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</w:t>
      </w:r>
      <w:r>
        <w:rPr>
          <w:sz w:val="20"/>
        </w:rPr>
        <w:t>омкорушители механизированные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Конвейеры ленточные, пластинчатые, скребковые, инерционные, роликовые приводные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Механизмы установок пневматического транспорта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Механизмы и аппараты для нанесения антикоррозионных покрытий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Механизированные установки для вырезки отверстий в обечайках и днищах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Маслоохладительные установки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Машины моечные, окрасочные, сушильные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Мерники автоматические нерегистрирующие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Местные отсосы и укрытия подвижного оборудования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Металлоуловители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Механизированные подмости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Механизированные </w:t>
      </w:r>
      <w:r>
        <w:rPr>
          <w:sz w:val="20"/>
        </w:rPr>
        <w:t xml:space="preserve">узлы монорельсовых путей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Механическое оборудование канатных дорог  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Насосы водоструйные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Насосы камерные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Насосные станции перекачки бытовых сточных вод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Нейтрализаторы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Оборудование для пылеуборки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Оборудование и устройства систем водопровода и оборотного водоснабжения, водоподготовки, канализации, сточных вод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Оборудование систем пневмотранспорта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Оборудование для канатных откаток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Оборудование централизованной смазки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Оборудование механическое флотационных илоуплотнителей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Осветители химводоподготовки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От</w:t>
      </w:r>
      <w:r>
        <w:rPr>
          <w:sz w:val="20"/>
        </w:rPr>
        <w:t>валообразователи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Пеногенераторы (мазутное хозяйство)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Переводы стрелочные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Перекидные шиберы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Печи электрические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Питатели разные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Подъемники приводные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Пробоотборники для контроля качества воды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Пульподелители приводные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Разгрузчики серной кислоты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Разравниватели грузов в железнодорожных вагонах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Регуляторы скорости фильтрации дроссельные, плавниковые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Регуляторы уровня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Сварочные установки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Сепараторы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Скреперные установки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Ск</w:t>
      </w:r>
      <w:r>
        <w:rPr>
          <w:sz w:val="20"/>
        </w:rPr>
        <w:t>рубберы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Сливные и наливные устройства для нефтепродуктов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Смесители со специальными загрузочными и разгрузочными устройствами механизированные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Стенды гидравлические для испытаний деталей арматуры механизированные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Стенды испытательные с подвижными элементами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Стенды технологические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Столы подъемные приводные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Тележки монорельсовые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Тележки самоходные с подъемной платформой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Теплообменники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Теплоутилизаторы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Токоприемники кольцевые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Трансбордерные установки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Установки покрытия</w:t>
      </w:r>
      <w:r>
        <w:rPr>
          <w:sz w:val="20"/>
        </w:rPr>
        <w:t xml:space="preserve"> труб изолом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для пайки коллекторов тяговых двигателей и вспомогательных машин с переходными кольцами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для получения глубокообессоленной воды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для предварительной пригонки щеток по коллектору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для хранения и дозировки жидкого стекла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центробежного нанесения клея на подшипники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Установки колонковых приборов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Установки очистки газов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Устройства для монтажа оболочек железобетонных конструкций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Устройства для сварки арматурных каркасов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Устройства для разрыва стру</w:t>
      </w:r>
      <w:r>
        <w:rPr>
          <w:sz w:val="20"/>
        </w:rPr>
        <w:t xml:space="preserve">и механизированные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Устройства загрузочные с эжектором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Устройства перегрузочные и распределительные для сыпучих грузов механизированные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Устройства фильтрующие в гидрозатворе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Фильтры для взрывоопасных производств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Фильтры тонкой очистки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Флотаторы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Холодильники отбора проб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Центрифуги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Шаровые мельницы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Шлакоспуск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Эжекторы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Элеваторы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Электропечи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Электротигли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Элементы сантехсистем с подвижными частями приводные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Эрлифты</w:t>
      </w:r>
    </w:p>
    <w:p w:rsidR="00000000" w:rsidRDefault="00605E8F">
      <w:pPr>
        <w:ind w:firstLine="284"/>
        <w:jc w:val="both"/>
        <w:rPr>
          <w:b/>
          <w:sz w:val="20"/>
          <w:u w:val="single"/>
        </w:rPr>
      </w:pPr>
    </w:p>
    <w:p w:rsidR="00000000" w:rsidRDefault="00605E8F">
      <w:pPr>
        <w:ind w:firstLine="284"/>
        <w:jc w:val="center"/>
        <w:rPr>
          <w:sz w:val="20"/>
        </w:rPr>
      </w:pPr>
      <w:r>
        <w:rPr>
          <w:b/>
          <w:sz w:val="20"/>
          <w:u w:val="single"/>
        </w:rPr>
        <w:t>Группа 4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Автоматизированные линии и участки для изготовления металлоконструкций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Агрегаты об</w:t>
      </w:r>
      <w:r>
        <w:rPr>
          <w:sz w:val="20"/>
        </w:rPr>
        <w:t>езжиривания изделий струйным методом с элементами автоматизации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Аппаратура специальная пневматическая и паровая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Аппараты тепловые для использования вторичного и бросового тепла в котельных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Аэраторы механические и пневмомеханические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Газогенераторы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Гидроприводы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Грузозахватные устройства автоматические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Диспергаторы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Дозаторы автоматизированные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Доувлажнители автоматизированные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Камеры окрасочные с мокрой очисткой воздуха автоматизированные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Карусельные машины для центробежной отливки деталей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Кассетные устано</w:t>
      </w:r>
      <w:r>
        <w:rPr>
          <w:sz w:val="20"/>
        </w:rPr>
        <w:t>вки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Кран-балки радиальные автоматизированные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Листоукладчики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Маневровое устройство с дистанционным управлением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Манипуляторы автоматизированные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Машины бурорыхлительные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Машины для зачистки вагонов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Машины для растаривания мешков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Машины для рыхления и разгрузки смерзшихся и слежавшихся грузов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Машины для чистки внутренних поверхностей труб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Машины и механизмы для мойки окон и фонарей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Машины моечные, сушильные, окрасочные автоматизированные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Лоточные линии правки, очистки и резки металла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Лоточные линии изг</w:t>
      </w:r>
      <w:r>
        <w:rPr>
          <w:sz w:val="20"/>
        </w:rPr>
        <w:t xml:space="preserve">отовления емкостей и резервуаров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Лоточные линии обработки труб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Лоточные линии сборки и сварки карт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Лоточные линии сборки и сварки теплообменников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Поточные линии очистки, пассивизации и резки листового металла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Резервуары сложной конструкции на давление свыше МПа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Сантехсистемы приводные с блокировками и следящими системами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Сетки водоочистительные вращающиеся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Стаккеры передвижные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Трансбордерные установки с передвижением в двух взаимно перпендикулярных направлениях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Установки для обезвоживания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Установки</w:t>
      </w:r>
      <w:r>
        <w:rPr>
          <w:sz w:val="20"/>
        </w:rPr>
        <w:t xml:space="preserve"> для центровки и стыковки обечаек с днищами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Устройства для защиты от обмерзания воздуходувных окон градирен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Фильтры вакуумные электрические с подвижной сеткой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Центрирующие устройства автоматизированные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Электролизеры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Электрофлотаторы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Группа 5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Автоматические устройства для расцепки вагонов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Автоматы бондаризации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Автоматы гальванических покрытий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Автоматы для металлообработки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Автоматы для разливки металла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Автооператоры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Агрегатные станки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Аэраторы планетарные плавающие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Бетонораздатчики, бетоноукладч</w:t>
      </w:r>
      <w:r>
        <w:rPr>
          <w:sz w:val="20"/>
        </w:rPr>
        <w:t xml:space="preserve">ики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Илоскребки, илососы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Камеры окраски в электрическом поле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Конвейеры грузонесущие с автоматическим адресованием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Конвейеры телескопические с поворотным устройством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Линии антикоррозийной защиты металлов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Линии конвейерные для подготовки, окраски и сушки изделий полуавтоматические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Манипуляторы для погрузки и разгрузки с дистанционным управлением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Машина для погрузки (выгрузки) сыпучих и штучных грузов в крытые вагоны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Мерники с автоматическим регулированием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Пакетоформирующие и пакетообвязочные машины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Пер</w:t>
      </w:r>
      <w:r>
        <w:rPr>
          <w:sz w:val="20"/>
        </w:rPr>
        <w:t xml:space="preserve">егрузки автоматические самоходные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Переключатели пневмотранспортных устройств автоматические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Полуавтоматические линии прессовки днищ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Сварные автоматы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Станки многооперационные полуавтоматические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Стенды испытательные автоматизированные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Тележки приводные автоматические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Установки окраски струйным обливом, с выдержкой в парах растворителя автоматизированные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Группа 6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Автоматизированная канатная дорога с программным управлением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Автоматизированное плавильное отделение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Автоматизированный склад с программным </w:t>
      </w:r>
      <w:r>
        <w:rPr>
          <w:sz w:val="20"/>
        </w:rPr>
        <w:t xml:space="preserve">управлением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Автоматизированная установка надвига и уборки вагонов у вагоноопрокидывателя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Автоматическая линия формовки литья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Автоматические бункерные загрузочные устройства к металлорежущим станкам и прессам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Автоматические установки для выбивки форм на литейных конвейерах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Автоматические установки удаления литниковых чаш на литейных конвейерах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Автоматические линии для механической обработки деталей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Автоматические установки для грануляции шлака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Автоматические установки для выбивки стержней из отливок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</w:t>
      </w:r>
      <w:r>
        <w:rPr>
          <w:sz w:val="20"/>
        </w:rPr>
        <w:t xml:space="preserve">оматические установки для очистки отливок с бункерной загрузкой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Автоматические установки для шихтовки вагранок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Автоматы для набора труб в теплообменники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Автоматы для развальцовки труб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Автоматы для стыковки обечаек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Автоматы для эмалирования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Автоматы для изготовления стержней и форм из жидких самотвердеющих смесей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Автоматы разливочные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Автооператоры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Камеры для гидравлической очистки литья автоматические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Контрольно-измерительные устройства для испытания арматуры автоматические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Промышленные роботы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Стенды</w:t>
      </w:r>
      <w:r>
        <w:rPr>
          <w:sz w:val="20"/>
        </w:rPr>
        <w:t xml:space="preserve"> испытательные автоматические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 xml:space="preserve">Транспорт на электромагнитной подвеске </w:t>
      </w:r>
    </w:p>
    <w:p w:rsidR="00000000" w:rsidRDefault="00605E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both"/>
        <w:rPr>
          <w:sz w:val="20"/>
        </w:rPr>
      </w:pPr>
      <w:r>
        <w:rPr>
          <w:sz w:val="20"/>
        </w:rPr>
        <w:t>Транспортно-складские линии АСУ ТП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605E8F">
      <w:pPr>
        <w:ind w:firstLine="284"/>
        <w:jc w:val="both"/>
        <w:rPr>
          <w:sz w:val="20"/>
        </w:rPr>
      </w:pP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 xml:space="preserve">1. Разъяснения по пунктам Основных положений и порядка определения базовой цены на разработку конструкторской документации оборудования индивидуального изготовления 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2. Дополнительные затраты, связанные с разработкой конструкторской документации оборудования индивидуального изготовления организациями, расположенными в районах Крайнего Севера и приравненных к ним отдаленных местностях и дру</w:t>
      </w:r>
      <w:r>
        <w:rPr>
          <w:sz w:val="20"/>
        </w:rPr>
        <w:t xml:space="preserve">гих районах 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>3. Передача конструкторской документации</w:t>
      </w:r>
    </w:p>
    <w:p w:rsidR="00000000" w:rsidRDefault="00605E8F">
      <w:pPr>
        <w:ind w:firstLine="284"/>
        <w:jc w:val="both"/>
        <w:rPr>
          <w:sz w:val="20"/>
        </w:rPr>
      </w:pPr>
      <w:r>
        <w:rPr>
          <w:sz w:val="20"/>
        </w:rPr>
        <w:t xml:space="preserve">4. Примерный перечень оборудования индивидуального изготовления по группам сложности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8F"/>
    <w:rsid w:val="006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2962</Words>
  <Characters>16890</Characters>
  <Application>Microsoft Office Word</Application>
  <DocSecurity>0</DocSecurity>
  <Lines>140</Lines>
  <Paragraphs>39</Paragraphs>
  <ScaleCrop>false</ScaleCrop>
  <Company>Elcom Ltd</Company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МИНЗЕМСТРОЙ РОССИИ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