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009F">
      <w:pPr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МИНЗЕМСТРОЙ РОССИИ</w:t>
      </w:r>
    </w:p>
    <w:p w:rsidR="00000000" w:rsidRDefault="0075009F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ГП "ЦЕНТРИНВЕСТПРОЕКТ"</w:t>
      </w:r>
    </w:p>
    <w:p w:rsidR="00000000" w:rsidRDefault="0075009F">
      <w:pPr>
        <w:ind w:firstLine="284"/>
        <w:jc w:val="center"/>
        <w:rPr>
          <w:sz w:val="20"/>
        </w:rPr>
      </w:pPr>
    </w:p>
    <w:p w:rsidR="00000000" w:rsidRDefault="0075009F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СПРАВОЧНИК БАЗОВЫХ ЦЕН</w:t>
      </w:r>
    </w:p>
    <w:p w:rsidR="00000000" w:rsidRDefault="0075009F">
      <w:pPr>
        <w:ind w:firstLine="284"/>
        <w:jc w:val="center"/>
        <w:rPr>
          <w:b/>
          <w:sz w:val="20"/>
        </w:rPr>
      </w:pPr>
    </w:p>
    <w:p w:rsidR="00000000" w:rsidRDefault="0075009F">
      <w:pPr>
        <w:ind w:firstLine="284"/>
        <w:jc w:val="center"/>
        <w:rPr>
          <w:b/>
          <w:sz w:val="20"/>
        </w:rPr>
      </w:pPr>
      <w:r>
        <w:rPr>
          <w:b/>
          <w:i/>
          <w:sz w:val="20"/>
        </w:rPr>
        <w:t>НА ОБМЕРНЫЕ РАБОТЫ И ОБСЛЕДОВАНИЯ ЗДАНИЙ И СООРУЖЕНИЙ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 xml:space="preserve">Справочник базовых цен на обмерные работы и обследования зданий и сооружений разработан </w:t>
      </w:r>
      <w:proofErr w:type="spellStart"/>
      <w:r>
        <w:rPr>
          <w:sz w:val="20"/>
        </w:rPr>
        <w:t>ГП"ЦЕНТРИВВЕСТпроект</w:t>
      </w:r>
      <w:proofErr w:type="spellEnd"/>
      <w:r>
        <w:rPr>
          <w:sz w:val="20"/>
        </w:rPr>
        <w:t xml:space="preserve">" </w:t>
      </w:r>
      <w:proofErr w:type="spellStart"/>
      <w:r>
        <w:rPr>
          <w:sz w:val="20"/>
        </w:rPr>
        <w:t>Минземстроя</w:t>
      </w:r>
      <w:proofErr w:type="spellEnd"/>
      <w:r>
        <w:rPr>
          <w:sz w:val="20"/>
        </w:rPr>
        <w:t xml:space="preserve"> России и Акц</w:t>
      </w:r>
      <w:r>
        <w:rPr>
          <w:sz w:val="20"/>
        </w:rPr>
        <w:t>ионерным обществом открытого типа "Проектный институт нефтяного и компрессорного машиностроения" (АООТ "</w:t>
      </w:r>
      <w:proofErr w:type="spellStart"/>
      <w:r>
        <w:rPr>
          <w:sz w:val="20"/>
        </w:rPr>
        <w:t>Проектнефтеком</w:t>
      </w:r>
      <w:proofErr w:type="spellEnd"/>
      <w:r>
        <w:rPr>
          <w:sz w:val="20"/>
        </w:rPr>
        <w:t>").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Справочник рекомендуется к применению с 1 сентября 1998 г.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Разъяснения и консультации по вопросам применения настоящего Справочника осуществляют:</w:t>
      </w:r>
    </w:p>
    <w:p w:rsidR="00000000" w:rsidRDefault="0075009F">
      <w:pPr>
        <w:ind w:firstLine="284"/>
        <w:jc w:val="both"/>
        <w:rPr>
          <w:i/>
          <w:sz w:val="20"/>
        </w:rPr>
      </w:pPr>
      <w:r>
        <w:rPr>
          <w:sz w:val="20"/>
        </w:rPr>
        <w:t>ГП "</w:t>
      </w:r>
      <w:proofErr w:type="spellStart"/>
      <w:r>
        <w:rPr>
          <w:sz w:val="20"/>
        </w:rPr>
        <w:t>ГЩНТРИНВЕСТпроект</w:t>
      </w:r>
      <w:proofErr w:type="spellEnd"/>
      <w:r>
        <w:rPr>
          <w:sz w:val="20"/>
        </w:rPr>
        <w:t xml:space="preserve">" </w:t>
      </w:r>
      <w:proofErr w:type="spellStart"/>
      <w:r>
        <w:rPr>
          <w:sz w:val="20"/>
        </w:rPr>
        <w:t>Минземстроя</w:t>
      </w:r>
      <w:proofErr w:type="spellEnd"/>
      <w:r>
        <w:rPr>
          <w:sz w:val="20"/>
        </w:rPr>
        <w:t xml:space="preserve"> России </w:t>
      </w:r>
      <w:r>
        <w:rPr>
          <w:i/>
          <w:sz w:val="20"/>
        </w:rPr>
        <w:t xml:space="preserve">(125057, г. Москва, Ленинградский пр. 63, тел, (095) 157-39-42, факс 157-46-51) </w:t>
      </w:r>
      <w:r>
        <w:rPr>
          <w:sz w:val="20"/>
        </w:rPr>
        <w:t>и АООТ "</w:t>
      </w:r>
      <w:proofErr w:type="spellStart"/>
      <w:r>
        <w:rPr>
          <w:sz w:val="20"/>
        </w:rPr>
        <w:t>Проектнефтеком</w:t>
      </w:r>
      <w:proofErr w:type="spellEnd"/>
      <w:r>
        <w:rPr>
          <w:sz w:val="20"/>
        </w:rPr>
        <w:t xml:space="preserve">" </w:t>
      </w:r>
      <w:r>
        <w:rPr>
          <w:i/>
          <w:sz w:val="20"/>
        </w:rPr>
        <w:t>(125040, г. Москва, ул. Скаковая, д. 32, тел. (095) 945-54-89, факс 945-63-90).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1. ОСНОВНЫЕ ПОЛ</w:t>
      </w:r>
      <w:r>
        <w:rPr>
          <w:b/>
          <w:i/>
          <w:sz w:val="20"/>
        </w:rPr>
        <w:t>ОЖЕНИЯ</w:t>
      </w:r>
    </w:p>
    <w:p w:rsidR="00000000" w:rsidRDefault="0075009F">
      <w:pPr>
        <w:ind w:firstLine="284"/>
        <w:jc w:val="center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1.1. Справочник базовых цен на обмерные работы и обследования зданий и сооружений ( далее именуемый "Справочник") предназначен для определения базовых цен с целью последующего формирования договорных цен на выполнение обмерных работ и обследований строительных конструкций зданий и сооружений жилищно-гражданского и промышленного назначения.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1.2. Базовые цены в Справочнике установлены в зависимости от натуральных показателей обследуемых объектов (строительного объема, площади и др.) без учета налога н</w:t>
      </w:r>
      <w:r>
        <w:rPr>
          <w:sz w:val="20"/>
        </w:rPr>
        <w:t>а добавленную стоимость.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1.3. Справочник предназначен для применения организациями различных организационно-правовых форм, имеющих лицензию на выполнение соответствующих работ для строительства и имеющих согласно законодательству Российской Федерации статус юридического лица.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1.4. Цены в Справочнике учитывают все затраты, включаемые в состав себестоимости в соответствии с Методическими рекомендациями по составу и учету затрат, включаемых в себестоимость проектной и изыскательской продукции (работ, услуг) дл</w:t>
      </w:r>
      <w:r>
        <w:rPr>
          <w:sz w:val="20"/>
        </w:rPr>
        <w:t>я строительства и формированию финансовых результатов, утвержденными Госстроем России от б апреля 1994 года, и прибыль (кроме затрат на служебные командировки).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1.5. Уровень цен, содержащихся в Справочнике, установлен по состоянию на 01.01.95 г. с учетом масштаба цен, принятого с 01.01.98 г.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При определении базовой цены вводится повышающий коэффициент, учитывающий инфляционные процессы на момент определения цены.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1.6. Ценами настоящего Справочника не учтена стоимость выполнения следующих работ: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• вскрытий в</w:t>
      </w:r>
      <w:r>
        <w:rPr>
          <w:sz w:val="20"/>
        </w:rPr>
        <w:t xml:space="preserve"> конструкциях и их заделка;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• откопка шурфов около фундаментов стен и колонн с откачкой воды и обратной засыпкой;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• отбивки и восстановления штукатурки для определения прочности кладки стен ультразвуковым прибором;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• очистки поверхностей конструкций от производственной пыли и грязи;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• устройства разборки и перемещения лесов, подмостей и настила. Перечисленные работы выполняются силами предприятий за их счет.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1.7. Ценами Справочника не учтены: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• постановка длительных наблюдений за состоянием конструкций;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• о</w:t>
      </w:r>
      <w:r>
        <w:rPr>
          <w:sz w:val="20"/>
        </w:rPr>
        <w:t>бследование оснований фундаментов, отбор образцов грунтов и их транспортировка, лабораторные испытания и составление заключения по инженерно-геологическим условиям объекта обследования;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• планово-высотная съемка положения строительных конструкций;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• затраты на служебные командировки;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• внесение изменений в техдокументацию выданную заказчику.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lastRenderedPageBreak/>
        <w:t>2. ПОРЯДОК ОПРЕДЕЛЕНИЯ БАЗОВОЙ ЦЕНЫ ОБМЕРНЫХ РАБОТ И ОБСЛЕДОВАНИЙ</w:t>
      </w:r>
    </w:p>
    <w:p w:rsidR="00000000" w:rsidRDefault="0075009F">
      <w:pPr>
        <w:ind w:firstLine="284"/>
        <w:jc w:val="center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2.1. Базовая цена выполнения обмерных работ и обследований определяется в зависимости от строительно</w:t>
      </w:r>
      <w:r>
        <w:rPr>
          <w:sz w:val="20"/>
        </w:rPr>
        <w:t>го объема, высоты здания категории сложности здания и категории сложности работ: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3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обмерных работ</w:t>
            </w:r>
          </w:p>
        </w:tc>
        <w:tc>
          <w:tcPr>
            <w:tcW w:w="3831" w:type="dxa"/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по таблице 1 для одноэтажных зданий;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3831" w:type="dxa"/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по таблице 2 для многоэтажных зданий;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обследований</w:t>
            </w:r>
          </w:p>
        </w:tc>
        <w:tc>
          <w:tcPr>
            <w:tcW w:w="3831" w:type="dxa"/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по таблице 3 для одноэтажных зданий;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3831" w:type="dxa"/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по таблице 4 для многоэтажных зданий.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2.2. Цена обмерных работ и обследований рассчитывается исходя из строительного объема по зданию или сооружению в целом, а в случае различной высоты и конструктивных особенностей - по отдельным его элементам. Порядок определения ст</w:t>
      </w:r>
      <w:r>
        <w:rPr>
          <w:sz w:val="20"/>
        </w:rPr>
        <w:t>роительного объема и высоты зданий и сооружений приведен в приложении.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2.3. Порядок определения категории сложности зданий и сооружений приведен в таблице 5.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2.4. Категория сложности работ зависит от состава этих работ и определяется: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1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обмерных работ</w:t>
            </w:r>
          </w:p>
        </w:tc>
        <w:tc>
          <w:tcPr>
            <w:tcW w:w="1566" w:type="dxa"/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по таблице 6;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для обследований</w:t>
            </w:r>
          </w:p>
        </w:tc>
        <w:tc>
          <w:tcPr>
            <w:tcW w:w="1566" w:type="dxa"/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по таблице 7.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2.5. Базовая цена обмерных работ и обследований определяется с учетом процентного соотношения отдельных видов работ, приведенных для обмерных работ в таблице 8, для обследований - в таблице 9.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2.6. При выпо</w:t>
      </w:r>
      <w:r>
        <w:rPr>
          <w:sz w:val="20"/>
        </w:rPr>
        <w:t>лнении работ в сложных условиях к ценам на эти работы вводятся коэффициенты, приведенные в таблице 10.</w:t>
      </w:r>
    </w:p>
    <w:p w:rsidR="00000000" w:rsidRDefault="0075009F">
      <w:pPr>
        <w:ind w:firstLine="284"/>
        <w:jc w:val="both"/>
        <w:rPr>
          <w:i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75009F">
      <w:pPr>
        <w:ind w:firstLine="284"/>
        <w:jc w:val="center"/>
        <w:rPr>
          <w:b/>
          <w:sz w:val="20"/>
          <w:vertAlign w:val="superscript"/>
          <w:lang w:val="en-US"/>
        </w:rPr>
      </w:pPr>
      <w:r>
        <w:rPr>
          <w:b/>
          <w:i/>
          <w:sz w:val="20"/>
        </w:rPr>
        <w:lastRenderedPageBreak/>
        <w:t>Цены на выполнение обмерных работ для одноэтажных зданий</w:t>
      </w:r>
      <w:r>
        <w:rPr>
          <w:b/>
          <w:sz w:val="20"/>
        </w:rPr>
        <w:t xml:space="preserve"> *</w:t>
      </w:r>
      <w:r>
        <w:rPr>
          <w:b/>
          <w:sz w:val="20"/>
          <w:vertAlign w:val="superscript"/>
        </w:rPr>
        <w:t>)</w:t>
      </w:r>
    </w:p>
    <w:p w:rsidR="00000000" w:rsidRDefault="0075009F">
      <w:pPr>
        <w:ind w:firstLine="284"/>
        <w:jc w:val="center"/>
        <w:rPr>
          <w:b/>
          <w:sz w:val="20"/>
        </w:rPr>
      </w:pPr>
    </w:p>
    <w:p w:rsidR="00000000" w:rsidRDefault="0075009F">
      <w:pPr>
        <w:ind w:firstLine="284"/>
        <w:jc w:val="right"/>
        <w:rPr>
          <w:sz w:val="20"/>
          <w:lang w:val="en-US"/>
        </w:rPr>
      </w:pPr>
      <w:r>
        <w:rPr>
          <w:sz w:val="20"/>
        </w:rPr>
        <w:t>Таблица1</w:t>
      </w:r>
    </w:p>
    <w:p w:rsidR="00000000" w:rsidRDefault="0075009F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748"/>
        <w:gridCol w:w="748"/>
        <w:gridCol w:w="748"/>
        <w:gridCol w:w="748"/>
        <w:gridCol w:w="748"/>
        <w:gridCol w:w="795"/>
        <w:gridCol w:w="744"/>
        <w:gridCol w:w="744"/>
        <w:gridCol w:w="744"/>
        <w:gridCol w:w="744"/>
        <w:gridCol w:w="744"/>
        <w:gridCol w:w="699"/>
        <w:gridCol w:w="752"/>
        <w:gridCol w:w="752"/>
        <w:gridCol w:w="752"/>
        <w:gridCol w:w="752"/>
        <w:gridCol w:w="752"/>
        <w:gridCol w:w="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Категории </w:t>
            </w:r>
          </w:p>
        </w:tc>
        <w:tc>
          <w:tcPr>
            <w:tcW w:w="134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в руб. на 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строительного объема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сложности</w:t>
            </w:r>
          </w:p>
        </w:tc>
        <w:tc>
          <w:tcPr>
            <w:tcW w:w="134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сложности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здания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  <w:tc>
          <w:tcPr>
            <w:tcW w:w="4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  <w:tc>
          <w:tcPr>
            <w:tcW w:w="4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19,19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28,28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25,83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35,57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34,22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0,14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21,51 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18,67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16,77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35,93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34,44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32,96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31,42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29,89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28,37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42,60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40,90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37,53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35,87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23,75 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22,75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20,73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19,72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18,70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43,67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41,93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40,10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38,28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36,43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34,70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47,34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45,47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43,66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41,89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40,08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38,28</w:t>
            </w:r>
          </w:p>
        </w:tc>
      </w:tr>
    </w:tbl>
    <w:p w:rsidR="00000000" w:rsidRDefault="0075009F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20,90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27,39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24,27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14,91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26,84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25,31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19,14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32,46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27,34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25,23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16,71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30,98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29,19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27,36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25,55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23,74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36,45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34,64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31,07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29,29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27,49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12,96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16,75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9,67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21,93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20,07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14,60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25,24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18,07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</w:t>
            </w:r>
            <w:r>
              <w:rPr>
                <w:sz w:val="20"/>
              </w:rPr>
              <w:t>8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  <w:lang w:val="en-US"/>
        </w:rPr>
      </w:pPr>
      <w:r>
        <w:rPr>
          <w:sz w:val="20"/>
        </w:rPr>
        <w:t>*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Цена установлена для зданий и сооружений жилищно-гражданского назначения; базовая цена для зданий и сооружений промышленного назначения принимается с коэффициентом 0,8.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b/>
          <w:i/>
          <w:sz w:val="20"/>
          <w:vertAlign w:val="superscript"/>
          <w:lang w:val="en-US"/>
        </w:rPr>
      </w:pPr>
      <w:r>
        <w:rPr>
          <w:b/>
          <w:i/>
          <w:sz w:val="20"/>
        </w:rPr>
        <w:t>Цены на выполнение обмерных работ для многоэтажных зданий *</w:t>
      </w:r>
      <w:r>
        <w:rPr>
          <w:b/>
          <w:i/>
          <w:sz w:val="20"/>
          <w:vertAlign w:val="superscript"/>
        </w:rPr>
        <w:t>)</w:t>
      </w:r>
    </w:p>
    <w:p w:rsidR="00000000" w:rsidRDefault="0075009F">
      <w:pPr>
        <w:ind w:firstLine="284"/>
        <w:jc w:val="center"/>
        <w:rPr>
          <w:b/>
          <w:sz w:val="20"/>
        </w:rPr>
      </w:pPr>
    </w:p>
    <w:p w:rsidR="00000000" w:rsidRDefault="0075009F">
      <w:pPr>
        <w:ind w:firstLine="284"/>
        <w:jc w:val="right"/>
        <w:rPr>
          <w:sz w:val="20"/>
          <w:lang w:val="en-US"/>
        </w:rPr>
      </w:pPr>
      <w:r>
        <w:rPr>
          <w:sz w:val="20"/>
        </w:rPr>
        <w:t>Таблица 2</w:t>
      </w:r>
    </w:p>
    <w:p w:rsidR="00000000" w:rsidRDefault="0075009F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748"/>
        <w:gridCol w:w="748"/>
        <w:gridCol w:w="748"/>
        <w:gridCol w:w="748"/>
        <w:gridCol w:w="748"/>
        <w:gridCol w:w="795"/>
        <w:gridCol w:w="744"/>
        <w:gridCol w:w="744"/>
        <w:gridCol w:w="744"/>
        <w:gridCol w:w="744"/>
        <w:gridCol w:w="744"/>
        <w:gridCol w:w="699"/>
        <w:gridCol w:w="752"/>
        <w:gridCol w:w="752"/>
        <w:gridCol w:w="752"/>
        <w:gridCol w:w="752"/>
        <w:gridCol w:w="752"/>
        <w:gridCol w:w="7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Категории </w:t>
            </w:r>
          </w:p>
        </w:tc>
        <w:tc>
          <w:tcPr>
            <w:tcW w:w="134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в руб. на 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строительного объема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сложности</w:t>
            </w:r>
          </w:p>
        </w:tc>
        <w:tc>
          <w:tcPr>
            <w:tcW w:w="134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сложности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здания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  <w:tc>
          <w:tcPr>
            <w:tcW w:w="4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  <w:tc>
          <w:tcPr>
            <w:tcW w:w="4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19,48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  <w:r>
              <w:rPr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33,07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38,57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35,59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22,16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19,97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39,37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37,74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36,12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44,16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42.56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40,92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22,24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45,83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43,97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42,10</w:t>
            </w:r>
          </w:p>
        </w:tc>
        <w:tc>
          <w:tcPr>
            <w:tcW w:w="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40,21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48,14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46,48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44,76</w:t>
            </w: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43,07</w:t>
            </w:r>
          </w:p>
        </w:tc>
      </w:tr>
    </w:tbl>
    <w:p w:rsidR="00000000" w:rsidRDefault="0075009F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26,40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23,69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31,05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26,45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26,32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35,97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34,30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31,01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21,04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>,89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18,72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38,37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36,47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34,82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32,71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30,82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28,95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41,40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39,71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36,34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34,62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32,92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18,76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17,99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25,96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24,27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20,93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9.32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27,07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25,15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31,18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22,63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*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Цен</w:t>
      </w:r>
      <w:r>
        <w:rPr>
          <w:sz w:val="20"/>
        </w:rPr>
        <w:t>а установлена для зданий и сооружений жилищно-гражданского назначения; базовая цена для зданий и сооружений промышленного назначения принимается с коэффициентом 0,8.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b/>
          <w:sz w:val="20"/>
        </w:rPr>
      </w:pPr>
      <w:r>
        <w:rPr>
          <w:b/>
          <w:i/>
          <w:sz w:val="20"/>
        </w:rPr>
        <w:t>Цены на выполнение инженерных обследований строительных конструкций одноэтажных зданий *)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75009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748"/>
        <w:gridCol w:w="748"/>
        <w:gridCol w:w="748"/>
        <w:gridCol w:w="748"/>
        <w:gridCol w:w="748"/>
        <w:gridCol w:w="795"/>
        <w:gridCol w:w="744"/>
        <w:gridCol w:w="744"/>
        <w:gridCol w:w="744"/>
        <w:gridCol w:w="744"/>
        <w:gridCol w:w="744"/>
        <w:gridCol w:w="816"/>
        <w:gridCol w:w="732"/>
        <w:gridCol w:w="732"/>
        <w:gridCol w:w="732"/>
        <w:gridCol w:w="732"/>
        <w:gridCol w:w="732"/>
        <w:gridCol w:w="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Категории </w:t>
            </w:r>
          </w:p>
        </w:tc>
        <w:tc>
          <w:tcPr>
            <w:tcW w:w="134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в руб. на 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строительного объема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сложности</w:t>
            </w:r>
          </w:p>
        </w:tc>
        <w:tc>
          <w:tcPr>
            <w:tcW w:w="134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сложности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здания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28,16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27,32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24,84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31,05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29,89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19,30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18,34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17,39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32,16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31,33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30,49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29,65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28,82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27,98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39,96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38,75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37,50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36,25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35,02</w:t>
            </w:r>
          </w:p>
        </w:tc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24,82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22,75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20,64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19,64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35,76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34,96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34,11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33,29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32,46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31,63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45,51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44,15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42,79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41,45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40,08</w:t>
            </w:r>
          </w:p>
        </w:tc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38,73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26,39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4,46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27,14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26,30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25,45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22,96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28,81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17,52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30,81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29,18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28,34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27,52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26,70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37,38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30,57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  <w:proofErr w:type="spellStart"/>
            <w:r>
              <w:rPr>
                <w:sz w:val="20"/>
              </w:rPr>
              <w:t>ивыше</w:t>
            </w:r>
            <w:proofErr w:type="spellEnd"/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14,90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19,43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6,76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18,77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17,91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  <w:r>
              <w:rPr>
                <w:sz w:val="20"/>
              </w:rPr>
              <w:t>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10,22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25,88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24,25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29,20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27,84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26,48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25,13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23,77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22,63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*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Цена установлена для зданий и сооружений жилищно-гражданского назначения; базовая цена для зданий и сооружений промышленного назначения принимается с коэффициентом 0,8.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b/>
          <w:sz w:val="20"/>
        </w:rPr>
      </w:pPr>
      <w:r>
        <w:rPr>
          <w:b/>
          <w:i/>
          <w:sz w:val="20"/>
        </w:rPr>
        <w:t>Цены на выполнение инженерных обследований строительных конструкций многоэтажных зданий*)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right"/>
        <w:rPr>
          <w:sz w:val="20"/>
        </w:rPr>
      </w:pPr>
      <w:r>
        <w:rPr>
          <w:sz w:val="20"/>
        </w:rPr>
        <w:t>Таблица 4</w:t>
      </w:r>
    </w:p>
    <w:p w:rsidR="00000000" w:rsidRDefault="0075009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748"/>
        <w:gridCol w:w="748"/>
        <w:gridCol w:w="748"/>
        <w:gridCol w:w="748"/>
        <w:gridCol w:w="748"/>
        <w:gridCol w:w="795"/>
        <w:gridCol w:w="744"/>
        <w:gridCol w:w="744"/>
        <w:gridCol w:w="744"/>
        <w:gridCol w:w="744"/>
        <w:gridCol w:w="744"/>
        <w:gridCol w:w="839"/>
        <w:gridCol w:w="728"/>
        <w:gridCol w:w="728"/>
        <w:gridCol w:w="728"/>
        <w:gridCol w:w="728"/>
        <w:gridCol w:w="728"/>
        <w:gridCol w:w="7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Категории </w:t>
            </w:r>
          </w:p>
        </w:tc>
        <w:tc>
          <w:tcPr>
            <w:tcW w:w="134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 в руб. на 100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строительного объема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сложности</w:t>
            </w:r>
          </w:p>
        </w:tc>
        <w:tc>
          <w:tcPr>
            <w:tcW w:w="134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сложности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здания</w:t>
            </w: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45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</w:t>
            </w:r>
            <w:r>
              <w:rPr>
                <w:sz w:val="20"/>
              </w:rPr>
              <w:t>х до</w:t>
            </w:r>
          </w:p>
        </w:tc>
        <w:tc>
          <w:tcPr>
            <w:tcW w:w="4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  <w:tc>
          <w:tcPr>
            <w:tcW w:w="4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Высота здания в метрах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14,94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26,69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33,24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16,94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14,91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32,99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32,09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31,18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30,24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39,04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38,01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36,97</w:t>
            </w:r>
          </w:p>
        </w:tc>
        <w:tc>
          <w:tcPr>
            <w:tcW w:w="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19,62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18,05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17,27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36,60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35,72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34,82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33,92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46,39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45,22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44,03</w:t>
            </w:r>
          </w:p>
        </w:tc>
        <w:tc>
          <w:tcPr>
            <w:tcW w:w="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42,84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25,80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24,90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23,98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31,05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4,25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28,42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26,60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25,66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24,75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34,92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33,88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31,85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30,82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16,47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14,92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33,21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32,11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41,67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40,52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39,34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38,18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35,84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134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19,46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16,73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20,97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8,83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7,48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21,09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19,31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27,76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26,72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25,70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24,67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z w:val="20"/>
              </w:rPr>
              <w:t>I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10,24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8,64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7,87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26,81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25,90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24,99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24,06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23,22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34,63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32,29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1,</w:t>
            </w: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29,95</w:t>
            </w:r>
          </w:p>
        </w:tc>
        <w:tc>
          <w:tcPr>
            <w:tcW w:w="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28,79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*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Цена установлена для зданий и сооружений жилищно-гражданского назначения; базовая цена для зданий и сооружений промышленного назначения принимается с коэффициентом 0,8.</w:t>
      </w:r>
    </w:p>
    <w:p w:rsidR="00000000" w:rsidRDefault="0075009F">
      <w:pPr>
        <w:ind w:firstLine="284"/>
        <w:jc w:val="both"/>
        <w:rPr>
          <w:i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75009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Определение категории сложности здания</w:t>
      </w:r>
    </w:p>
    <w:p w:rsidR="00000000" w:rsidRDefault="0075009F">
      <w:pPr>
        <w:ind w:firstLine="284"/>
        <w:jc w:val="center"/>
        <w:rPr>
          <w:b/>
          <w:sz w:val="20"/>
        </w:rPr>
      </w:pPr>
    </w:p>
    <w:p w:rsidR="00000000" w:rsidRDefault="0075009F">
      <w:pPr>
        <w:ind w:firstLine="284"/>
        <w:jc w:val="right"/>
        <w:rPr>
          <w:sz w:val="20"/>
        </w:rPr>
      </w:pPr>
      <w:r>
        <w:rPr>
          <w:sz w:val="20"/>
        </w:rPr>
        <w:t>Таблица 5</w:t>
      </w:r>
    </w:p>
    <w:p w:rsidR="00000000" w:rsidRDefault="0075009F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Категория сложности здания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i/>
                <w:sz w:val="20"/>
              </w:rPr>
            </w:pPr>
          </w:p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Характеристика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Одноэтажные здания</w:t>
            </w:r>
          </w:p>
          <w:p w:rsidR="00000000" w:rsidRDefault="0075009F">
            <w:pPr>
              <w:jc w:val="center"/>
              <w:rPr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Однопролетные и </w:t>
            </w:r>
            <w:proofErr w:type="spellStart"/>
            <w:r>
              <w:rPr>
                <w:sz w:val="20"/>
              </w:rPr>
              <w:t>двухпролетные</w:t>
            </w:r>
            <w:proofErr w:type="spellEnd"/>
            <w:r>
              <w:rPr>
                <w:sz w:val="20"/>
              </w:rPr>
              <w:t xml:space="preserve"> бескаркасные, бескрановые здания или сооружения высотой до 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 з</w:t>
            </w:r>
            <w:r>
              <w:rPr>
                <w:sz w:val="20"/>
              </w:rPr>
              <w:t>дания и сооружения, не вошедшие в 1 и 3 категории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Здания каркасной конструкции с двухъярусным расположением мостовых (или консольных) кранов, либо здания, состоящие в плане из нескольких прямоугольников (более 3), или криволинейных очертаний, или с большим количеством разнотипных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Многоэтажные здания</w:t>
            </w:r>
          </w:p>
          <w:p w:rsidR="00000000" w:rsidRDefault="0075009F">
            <w:pPr>
              <w:jc w:val="center"/>
              <w:rPr>
                <w:sz w:val="2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Здания прямоугольной формы в плане, с однотипными помещениями в пределах этажа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Здания, состоящие в плане из 2-3 прямоугольников, с разнотипными помещениями в пределах этажа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Зда</w:t>
            </w:r>
            <w:r>
              <w:rPr>
                <w:sz w:val="20"/>
              </w:rPr>
              <w:t>ния, состоящие в плане из нескольких прямоугольников (более 3) или криволинейных очертаний, с разнотипными помещениями в пределах этажа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right"/>
        <w:rPr>
          <w:sz w:val="20"/>
        </w:rPr>
      </w:pPr>
      <w:r>
        <w:rPr>
          <w:sz w:val="20"/>
        </w:rPr>
        <w:t>Таблица 6</w:t>
      </w:r>
    </w:p>
    <w:p w:rsidR="00000000" w:rsidRDefault="0075009F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Категория сложности работ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Состав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Обмеры в объеме, необходимом для выполнения визуального обследования, составления паспортов зданий, с выполнением чертежей схем, планов и разрезов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Обмерные работы, перечисленные в табл. 8 по зданиям с однотипными конструкциями перекрытий и покрытий с выявлением их состава, с узлами </w:t>
            </w:r>
            <w:proofErr w:type="spellStart"/>
            <w:r>
              <w:rPr>
                <w:sz w:val="20"/>
              </w:rPr>
              <w:t>примыканий</w:t>
            </w:r>
            <w:proofErr w:type="spellEnd"/>
            <w:r>
              <w:rPr>
                <w:sz w:val="20"/>
              </w:rPr>
              <w:t xml:space="preserve"> и сопряжении конструкций</w:t>
            </w:r>
            <w:r>
              <w:rPr>
                <w:sz w:val="20"/>
              </w:rPr>
              <w:t xml:space="preserve"> между собой, с определением армирования железобетонных конструкций, с замером высот и длин сварных швов, с определением диаметров заклепок, болтов и их шага, выполнение чертежей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 же, что и для 2 категории сложности работ, только с разнотипными конструкциями перекрытий и покрытий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right"/>
        <w:rPr>
          <w:sz w:val="20"/>
        </w:rPr>
      </w:pPr>
      <w:r>
        <w:rPr>
          <w:sz w:val="20"/>
        </w:rPr>
        <w:t>Таблица 7</w:t>
      </w:r>
    </w:p>
    <w:p w:rsidR="00000000" w:rsidRDefault="0075009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078"/>
        <w:gridCol w:w="5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Состояние строительных конструкций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Категории сложности работ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i/>
                <w:sz w:val="20"/>
              </w:rPr>
            </w:pPr>
          </w:p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Состав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Независимо от состояния строительных конструкций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Составление дефектных ведомостей (описей работ), по которым выполняется смета на ремон</w:t>
            </w:r>
            <w:r>
              <w:rPr>
                <w:sz w:val="20"/>
              </w:rPr>
              <w:t>т конструкций; выполнение визуального обследования; составление паспортов зданий с выдачей Заключения о состоянии строительных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Изучение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Составление программы работ по определению действительного состояния строительных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Детальный осмотр строительных конструкций с зарисовкой и замерами дефектов и повреждений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Указание заказчику мест для отбора проб (образцов) материалов из строительных конструкций и грунтов основани</w:t>
            </w:r>
            <w:r>
              <w:rPr>
                <w:sz w:val="20"/>
              </w:rPr>
              <w:t>й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Фотографирование дефектов и повреждений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Графическое оформление материалов обследования с указанием обнаруженных дефектов и повреждений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7. Составление проверочных расчетов несущей способности строительных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8. Составление Заключения по результатам обследования строительных конструкций с выводами и рекомендациями по их дальнейшей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Неудовлетворительное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Изучение 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и аварийное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Составление программы работ по определению д</w:t>
            </w:r>
            <w:r>
              <w:rPr>
                <w:sz w:val="20"/>
              </w:rPr>
              <w:t>ействительного состояния строительных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Составление дефектных ведомостей на поврежденные конструкции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Детальный осмотр строительных конструкций с зарисовкой дефектов и повреждений, с указанием их характера и степени аварийности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Указание заказчику мест для отбора проб (образцов) материалов из строительных конструкций и грунтов оснований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Фотографирование видимых дефектов и повреждений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Графическое оформление материалов обследования с указанием обна</w:t>
            </w:r>
            <w:r>
              <w:rPr>
                <w:sz w:val="20"/>
              </w:rPr>
              <w:t>руженных дефектов и повреждений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8. Составление проверочных расчетов по несущей способности строительных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9. Разработка временных противоаварийных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57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Составление Заключения по результатам обследования строительных конструкций с выводами и рекомендациями по их дальнейшей эксплуатации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Процентное соотношение отдельных видов обмерных работ</w:t>
      </w:r>
    </w:p>
    <w:p w:rsidR="00000000" w:rsidRDefault="0075009F">
      <w:pPr>
        <w:ind w:firstLine="284"/>
        <w:jc w:val="center"/>
        <w:rPr>
          <w:b/>
          <w:sz w:val="20"/>
        </w:rPr>
      </w:pPr>
    </w:p>
    <w:p w:rsidR="00000000" w:rsidRDefault="0075009F">
      <w:pPr>
        <w:ind w:firstLine="284"/>
        <w:jc w:val="right"/>
        <w:rPr>
          <w:sz w:val="20"/>
        </w:rPr>
      </w:pPr>
      <w:r>
        <w:rPr>
          <w:sz w:val="20"/>
        </w:rPr>
        <w:t>Таблица 8</w:t>
      </w:r>
    </w:p>
    <w:p w:rsidR="00000000" w:rsidRDefault="0075009F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5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Виды обмерных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Здания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одноэтажные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многоэтажные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Здания каркасные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Планы фундаментов, фундаменты и фундаментные</w:t>
            </w:r>
            <w:r>
              <w:rPr>
                <w:sz w:val="20"/>
              </w:rPr>
              <w:t xml:space="preserve"> балки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Поэтажные планы здания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Планы колонн и связей, подкрановых и тормозных конструкций с узлами сопряжении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Планы полов с определением состава полов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Поперечные и продольные разрезы с узлами сопряжении конструкций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6. Фасады, окна, ворота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Конструкции колонн и стоек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Лестницы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Подкрановые и тормозные конструкции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Планы конструкций перекрытий со вскрытиями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Планы несущих конструкций</w:t>
            </w:r>
            <w:r>
              <w:rPr>
                <w:sz w:val="20"/>
              </w:rPr>
              <w:t xml:space="preserve"> покрытия со связями и прогонами, узлами сопряжении конструкций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12. Планы ограждающих конструкций покрытия со вскрытиями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13- Стропильные и подстропильные конструкции покрытия с определением сечений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26,03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14. Крыши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15. Планы кровли со вскрытиями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2,76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Здания бескаркасные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Планы фундаментов и фундаменты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Поэтажные планы здания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12,33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Планы полов с определением состава полов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Поперечные и продольные разрезы с узлами </w:t>
            </w:r>
            <w:proofErr w:type="spellStart"/>
            <w:r>
              <w:rPr>
                <w:sz w:val="20"/>
              </w:rPr>
              <w:t>сопряж</w:t>
            </w:r>
            <w:r>
              <w:rPr>
                <w:sz w:val="20"/>
              </w:rPr>
              <w:t>ений</w:t>
            </w:r>
            <w:proofErr w:type="spellEnd"/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13,94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5. Фасады, окна, ворота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9,80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Лестницы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Планы конструкций перекрытий со вскрытиями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Подкрановые конструкции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3,35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9. Планы несущих конструкций покрытия со связями и прогонами, узлами </w:t>
            </w:r>
            <w:proofErr w:type="spellStart"/>
            <w:r>
              <w:rPr>
                <w:sz w:val="20"/>
              </w:rPr>
              <w:t>сопряжений</w:t>
            </w:r>
            <w:proofErr w:type="spellEnd"/>
            <w:r>
              <w:rPr>
                <w:sz w:val="20"/>
              </w:rPr>
              <w:t xml:space="preserve"> конструкций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13,58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Планы ограждающих конструкций покрытия со вскрытиями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10,37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Стропильные и подстропильные конструкции покрытия с определением сечений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27,52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12. Крыши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13. Планы кровли со вскрытиями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2,76</w:t>
            </w:r>
          </w:p>
        </w:tc>
        <w:tc>
          <w:tcPr>
            <w:tcW w:w="1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Проце</w:t>
      </w:r>
      <w:r>
        <w:rPr>
          <w:b/>
          <w:i/>
          <w:sz w:val="20"/>
        </w:rPr>
        <w:t>нтное соотношение отдельных видов обследовательских работ</w:t>
      </w:r>
    </w:p>
    <w:p w:rsidR="00000000" w:rsidRDefault="0075009F">
      <w:pPr>
        <w:ind w:firstLine="284"/>
        <w:jc w:val="center"/>
        <w:rPr>
          <w:sz w:val="20"/>
        </w:rPr>
      </w:pPr>
    </w:p>
    <w:p w:rsidR="00000000" w:rsidRDefault="0075009F">
      <w:pPr>
        <w:ind w:firstLine="284"/>
        <w:jc w:val="right"/>
        <w:rPr>
          <w:sz w:val="20"/>
        </w:rPr>
      </w:pPr>
      <w:r>
        <w:rPr>
          <w:sz w:val="20"/>
        </w:rPr>
        <w:t>Таблица 9</w:t>
      </w:r>
    </w:p>
    <w:p w:rsidR="00000000" w:rsidRDefault="0075009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Здания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конструкций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одноэтажные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многоэтажные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Здания каркасные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Фундаменты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Стены, перегородки, перемычки, окна, двери, ворота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Полы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Колонны, столбы, стойки и связи по ним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Лестницы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Подкрановые и тормозные конструкции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Перекрытия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Несущие конструкции покрытия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37,70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9. Ограждающие конструкции покрытия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10. Совмещенные </w:t>
            </w:r>
            <w:r>
              <w:rPr>
                <w:sz w:val="20"/>
              </w:rPr>
              <w:t>покрытия или крыши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Кровля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Здания бескаркасные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Фундаменты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Стены, перегородки, перемычки, окна, двери, ворота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Полы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Лестницы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Подкрановые конструкции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Перекрытия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Несущие конструкции покрытия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37,70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8. Ограждающие конструкции покрытия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9. Совмещенные покрытия или крыши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Кровля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75009F">
      <w:pPr>
        <w:ind w:firstLine="284"/>
        <w:jc w:val="right"/>
        <w:rPr>
          <w:sz w:val="20"/>
        </w:rPr>
      </w:pPr>
    </w:p>
    <w:p w:rsidR="00000000" w:rsidRDefault="0075009F">
      <w:pPr>
        <w:ind w:firstLine="284"/>
        <w:jc w:val="right"/>
        <w:rPr>
          <w:sz w:val="20"/>
        </w:rPr>
      </w:pPr>
    </w:p>
    <w:p w:rsidR="00000000" w:rsidRDefault="0075009F">
      <w:pPr>
        <w:ind w:firstLine="284"/>
        <w:jc w:val="right"/>
        <w:rPr>
          <w:sz w:val="20"/>
        </w:rPr>
      </w:pPr>
      <w:r>
        <w:rPr>
          <w:sz w:val="20"/>
        </w:rPr>
        <w:t>Таблица 10</w:t>
      </w:r>
    </w:p>
    <w:p w:rsidR="00000000" w:rsidRDefault="0075009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Факторы усложняющие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Здания, возв</w:t>
            </w:r>
            <w:r>
              <w:rPr>
                <w:sz w:val="20"/>
              </w:rPr>
              <w:t xml:space="preserve">еденные на </w:t>
            </w:r>
            <w:proofErr w:type="spellStart"/>
            <w:r>
              <w:rPr>
                <w:sz w:val="20"/>
              </w:rPr>
              <w:t>просадочных</w:t>
            </w:r>
            <w:proofErr w:type="spellEnd"/>
            <w:r>
              <w:rPr>
                <w:sz w:val="20"/>
              </w:rPr>
              <w:t>, набухающих грунтах, над горными выработками, в подтапливаемых районах с карстовыми и оползневыми явлениями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Насыщенность оборудованием более 50% площади помещений, затрудняющая производство </w:t>
            </w:r>
            <w:proofErr w:type="spellStart"/>
            <w:r>
              <w:rPr>
                <w:sz w:val="20"/>
              </w:rPr>
              <w:t>обмерно-обследовательских</w:t>
            </w:r>
            <w:proofErr w:type="spellEnd"/>
            <w:r>
              <w:rPr>
                <w:sz w:val="20"/>
              </w:rPr>
              <w:t xml:space="preserve"> работ или выполнение обмеров и обследований в затрудненных условиях (захламленность, стесненность, частично разобраны полы и др. 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 Выполнение работ в цехах с вредным для здоровья производством, с </w:t>
            </w:r>
            <w:proofErr w:type="spellStart"/>
            <w:r>
              <w:rPr>
                <w:sz w:val="20"/>
              </w:rPr>
              <w:t>вибродинамическими</w:t>
            </w:r>
            <w:proofErr w:type="spellEnd"/>
            <w:r>
              <w:rPr>
                <w:sz w:val="20"/>
              </w:rPr>
              <w:t xml:space="preserve"> воздействиями на конструкции здания, с вы</w:t>
            </w:r>
            <w:r>
              <w:rPr>
                <w:sz w:val="20"/>
              </w:rPr>
              <w:t>делением пара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Выполнение работ в </w:t>
            </w:r>
            <w:proofErr w:type="spellStart"/>
            <w:r>
              <w:rPr>
                <w:sz w:val="20"/>
              </w:rPr>
              <w:t>неотапливаемых</w:t>
            </w:r>
            <w:proofErr w:type="spellEnd"/>
            <w:r>
              <w:rPr>
                <w:sz w:val="20"/>
              </w:rPr>
              <w:t xml:space="preserve"> зданиях или его частях (чердаки, кровли, фасады и др.) в зимний период времени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Выполнение работ в зданиях, являющихся памятником архитектуры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Выполнение работ с мостового крана или подмостей, требующих использование дополнительных лестниц и различных приспособлений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7. Выполнение работ в цехах со слабой степенью агрессивного воздействия окружающей среды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8. То же, в цехах со средней степенью агрессивного воздействия окружающей </w:t>
            </w:r>
            <w:r>
              <w:rPr>
                <w:sz w:val="20"/>
              </w:rPr>
              <w:t>среды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9. То же, в цехах с сильной степенью агрессивного воздействия окружающей среды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Конструкции, усиленные по ранее разработанным проектам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Сейсмичность 7 баллов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12. Сейсмичность 8 баллов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13. Сейсмичность 9 баллов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2.7. При выполнении обмерных и обследовательских работ в зданиях и сооружениях с малыми строительными объемами к ценам на эти работы вводятся коэффициенты, приведенные в таблице 11.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right"/>
        <w:rPr>
          <w:sz w:val="20"/>
        </w:rPr>
      </w:pPr>
      <w:r>
        <w:rPr>
          <w:sz w:val="20"/>
        </w:rPr>
        <w:t>Таблица 11</w:t>
      </w:r>
    </w:p>
    <w:p w:rsidR="00000000" w:rsidRDefault="0075009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Строительный объем </w:t>
            </w:r>
            <w:r>
              <w:rPr>
                <w:b/>
                <w:i/>
                <w:sz w:val="20"/>
                <w:vertAlign w:val="superscript"/>
              </w:rPr>
              <w:t>*</w:t>
            </w:r>
            <w:r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95" w:type="dxa"/>
            <w:tcBorders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</w:t>
            </w:r>
            <w:r>
              <w:rPr>
                <w:sz w:val="20"/>
              </w:rPr>
              <w:t>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95" w:type="dxa"/>
            <w:tcBorders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95" w:type="dxa"/>
            <w:tcBorders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4000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95" w:type="dxa"/>
            <w:tcBorders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5000</w:t>
            </w:r>
            <w:r>
              <w:rPr>
                <w:sz w:val="20"/>
                <w:lang w:val="en-US"/>
              </w:rPr>
              <w:t xml:space="preserve"> ì</w:t>
            </w:r>
            <w:r>
              <w:rPr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0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св. 5000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*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 Суммарный строительный объем зданий и сооружений в соответствии с заданием на выполнение работ.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2.8. Цены на обмерные работы и обследования установлены для зданий с шагом основных несущих конструкций 6 метров и более. При шаге колонн и ферм менее 6 метров вводится коэффициент 1,25.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2.9. При определении базовой цены по обмерам и обследованиям клепаных конструкций вводится коэффициент 1,2.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2.10. При выполнении визуаль</w:t>
      </w:r>
      <w:r>
        <w:rPr>
          <w:sz w:val="20"/>
        </w:rPr>
        <w:t>ных обследований и составлении строительных паспортов базовая цена работ определяется по таблицам 1, 2, 3 и 4 для первой категории сложности работ.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2.11. При выполнении обмерных работ с использованием и сверкой имеющихся чертежей и выдачей скорректированных чертежей заказчику, на соответствующие виды работ вводится понижающий коэффициент - 0,75.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2.12. В тех случаях, когда определение несущей способности строительных конструкций расчетом не требуется, к ценам по таблицам 3 и 4 применяется понижающий коэффици</w:t>
      </w:r>
      <w:r>
        <w:rPr>
          <w:sz w:val="20"/>
        </w:rPr>
        <w:t>ент 0,8.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2.13. Базовая цена преддоговорных работ определяется из расчета 6% от базовой цены выполнения обмерных работ и 8% от базовой цены выполнения обследований.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2.14. Базовая цена составления сметной документации по описям работ (дефектным ведомостям) определяется в размере 10% от цены, предусмотренной в таблицах 3 и 4 для 1 категории сложности работ.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3. ПОРЯДОК ОПРЕДЕЛЕНИЯ СТОИМОСТИ ВЫПОЛНЕНИЯ ВИБРОДИНАМИЧЕСКИХ ИСПЫТАНИЙ, ОПРЕДЕЛЕНИЯ ПРОЧНОСТИ КИРПИЧА</w:t>
      </w:r>
    </w:p>
    <w:p w:rsidR="00000000" w:rsidRDefault="0075009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И БЕТОНА В КОНСТРУКЦИЯХ НЕРАЗРУШАЮЩИМИ МЕТОДАМИ</w:t>
      </w:r>
    </w:p>
    <w:p w:rsidR="00000000" w:rsidRDefault="0075009F">
      <w:pPr>
        <w:ind w:firstLine="284"/>
        <w:jc w:val="center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>1. Ценами настоящей главы учтены нижеприведенные виды работ.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 xml:space="preserve">3.1.1. По </w:t>
      </w:r>
      <w:proofErr w:type="spellStart"/>
      <w:r>
        <w:rPr>
          <w:sz w:val="20"/>
        </w:rPr>
        <w:t>вибродинамическим</w:t>
      </w:r>
      <w:proofErr w:type="spellEnd"/>
      <w:r>
        <w:rPr>
          <w:sz w:val="20"/>
        </w:rPr>
        <w:t xml:space="preserve"> испытаниям при помощи осциллографа: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а) составление программ испытаний;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б) регистрация колебаний;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в) проявка осциллограммы зарегистрированных колебаний;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г) камеральная обработка материалов измерений и расшифровка осциллограмм;</w:t>
      </w:r>
    </w:p>
    <w:p w:rsidR="00000000" w:rsidRDefault="0075009F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>) составление заключения по выполненной работе.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3.1.2. По определению прочности бетона механическими приборами: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а) выбор мест на конструкции для испытаний;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б) подготовка исследуемых участков к исп</w:t>
      </w:r>
      <w:r>
        <w:rPr>
          <w:sz w:val="20"/>
        </w:rPr>
        <w:t>ытаниям с удалением штукатурки, краски, с очисткой шероховатой поверхности металлическими щетками;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в) нанесение молотком отпечатков на поверхности бетона с измерением их диаметров и перемещение испытателей с приборами вдоль конструкции;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г) камеральная обработка результатов испытаний с составлением отчета по выполненной работе.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3.1.3. По определению прочности бетона ультразвуковыми приборами: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а) выявление в конструкции мест для испытаний;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б) подготовка исследуемых участков железобетонных конструкций: удалени</w:t>
      </w:r>
      <w:r>
        <w:rPr>
          <w:sz w:val="20"/>
        </w:rPr>
        <w:t>е штукатурки, краски, очистка шероховатой поверхности металлическими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щетками;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в) измерение времени прохождения ультразвука через испытываемую конструкцию и перемещение датчиков по ее поверхности;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г) камеральная обработка результатов испытаний с составлением отчета по выполненной работе.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3.1.4. По определению прочности кирпичной кладки ультразвуковыми приборами: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а) выявление в конструкции мест для испытаний;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б) подготовка исследуемых участков кладки стен: удаление штукатурки, краски, очистка шероховатой пове</w:t>
      </w:r>
      <w:r>
        <w:rPr>
          <w:sz w:val="20"/>
        </w:rPr>
        <w:t>рхности металлическими щетками;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в) измерение времени прохождения ультразвука через кирпичную кладку и перемещение датчиков по поверхности кладки;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г) камеральная обработка результатов испытаний с составлением отчета по выполненной работе.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 xml:space="preserve">3.2. Цены на выполнение </w:t>
      </w:r>
      <w:proofErr w:type="spellStart"/>
      <w:r>
        <w:rPr>
          <w:sz w:val="20"/>
        </w:rPr>
        <w:t>вибродинамических</w:t>
      </w:r>
      <w:proofErr w:type="spellEnd"/>
      <w:r>
        <w:rPr>
          <w:sz w:val="20"/>
        </w:rPr>
        <w:t xml:space="preserve"> испытаний конструкций, определение прочности бетона и кирпичной кладки в конструкциях принимаются по таблицам 12,13,14.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3.3. При выполнении испытаний конструкций в сложных условиях к ценам вводятся коэффициенты, приведенные в таблиц</w:t>
      </w:r>
      <w:r>
        <w:rPr>
          <w:sz w:val="20"/>
        </w:rPr>
        <w:t>е 10 раздела 2 Справочника.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Цены на выполнение </w:t>
      </w:r>
      <w:proofErr w:type="spellStart"/>
      <w:r>
        <w:rPr>
          <w:b/>
          <w:i/>
          <w:sz w:val="20"/>
        </w:rPr>
        <w:t>внбродинамических</w:t>
      </w:r>
      <w:proofErr w:type="spellEnd"/>
      <w:r>
        <w:rPr>
          <w:b/>
          <w:i/>
          <w:sz w:val="20"/>
        </w:rPr>
        <w:t xml:space="preserve"> испытаний конструкций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right"/>
        <w:rPr>
          <w:sz w:val="20"/>
        </w:rPr>
      </w:pPr>
      <w:r>
        <w:rPr>
          <w:sz w:val="20"/>
        </w:rPr>
        <w:t>Таблица 12</w:t>
      </w:r>
    </w:p>
    <w:p w:rsidR="00000000" w:rsidRDefault="0075009F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Виды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Цена за единицу </w:t>
            </w:r>
            <w:proofErr w:type="spellStart"/>
            <w:r>
              <w:rPr>
                <w:b/>
                <w:i/>
                <w:sz w:val="20"/>
              </w:rPr>
              <w:t>измеренияруб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Регистрация при помощи осциллографа амплитуд вынужденных колебаний элементов конструкций, с выявлением форм вынужденных колебаний с камеральной обработкой материалов испытаний и составлением Заключения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Перекрытия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1) Простая конструктивная схема перекрытия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площади исследуемой поверхности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площадью до 500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то же, от 501</w:t>
            </w:r>
            <w:r>
              <w:rPr>
                <w:sz w:val="20"/>
              </w:rPr>
              <w:t xml:space="preserve"> до 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то же, от 1001 до 3000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то же, более 3000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2) Сложная конструктивная схема перекрытия с главными и часто расположенными второстепенными балками: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площади исследуемой поверхности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площадью до 500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то же, от 501 до 1000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то же, от 1001 до 3000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то же, более 3000м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Подкрановые балки пролетом 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при высоте до 6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одна точка установки датчика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при высоте до 9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z w:val="20"/>
              </w:rPr>
              <w:t xml:space="preserve"> при высоте до 12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при высоте более 12м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 Подкрановые балки пролетом до 12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при высоте до 6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при высоте до 9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при высоте до 12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при высоте более 12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 Колонны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при высоте до 4,5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при высоте до 6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при высоте до 9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при высоте более 9 м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" 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Цены на определение прочности бетона в конструкциях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right"/>
        <w:rPr>
          <w:sz w:val="20"/>
        </w:rPr>
      </w:pPr>
      <w:r>
        <w:rPr>
          <w:sz w:val="20"/>
        </w:rPr>
        <w:t>Таблица 13</w:t>
      </w:r>
    </w:p>
    <w:p w:rsidR="00000000" w:rsidRDefault="0075009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Виды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Цена за единицу измерени</w:t>
            </w:r>
            <w:r>
              <w:rPr>
                <w:b/>
                <w:i/>
                <w:sz w:val="20"/>
              </w:rPr>
              <w:t>я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 Определение прочности бетона в бетонных и железобетонных конструкциях механическими приборами, замеры диаметров отпечатков, камеральная обработка и составление Заключения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 при количестве мест определения: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до 50 при высоте до б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одно место испытаний (см. примечание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 1)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то же до 9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то же до 12м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то же до 15м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)то же более 15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2) при количестве мест определения: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от 51 до 150 при высоте 6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то же до 9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то</w:t>
            </w:r>
            <w:r>
              <w:rPr>
                <w:sz w:val="20"/>
              </w:rPr>
              <w:t xml:space="preserve"> же до 12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то же до 15м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 то же более 15м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3) при количестве мест определения: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от 151 до 250 при высоте до 6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то же до 9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то же до 12м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то же до 15м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 то же более 15м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4) при количестве мест определения: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от 251 до 500 при высоте до 6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то же до 9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то же до 12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то же до 15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 то же более 15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5) при количестве мест определения: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а) более 500 при </w:t>
            </w:r>
            <w:r>
              <w:rPr>
                <w:sz w:val="20"/>
              </w:rPr>
              <w:t>высоте до 6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то же до 9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то же до 12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то же до 15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 то же более 15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Определение прочности бетона в бетонных и железобетонных конструкциях ультразвуковыми приборами с измерением времени прохождения ультразвукового импульса, камеральная обработка и составление Заключения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1) при количестве мест определения: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до 50 при высоте до 6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одно место испытаний (см. примечание п.2)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то же до 9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то же до 12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то</w:t>
            </w:r>
            <w:r>
              <w:rPr>
                <w:sz w:val="20"/>
              </w:rPr>
              <w:t xml:space="preserve"> же до 15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 то же более 15м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2) при количестве мест определения: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от 51 до 150 при высоте 6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то же до 9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то же до 12м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то же до 15м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 то же более 15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3) при количестве мест определения: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от 151 до 250 при высоте до 6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то же до 9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то же до 12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то же до 15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 то же более 15м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4) при количестве мест определения: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от 251 до 500 при высоте до 6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z w:val="20"/>
              </w:rPr>
              <w:t xml:space="preserve"> то же до 9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то же до 12м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то же до 15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 то же более 15м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5) при количестве мест определения: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более 500 при высоте до 6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то же до 9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то же до 12м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то же до 15 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 то же более 15 м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b/>
          <w:i/>
          <w:sz w:val="20"/>
        </w:rPr>
        <w:t>Примечания: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1. Многократное нанесение отпечатков на поверхность бетона на одном участке расценивается как за одно место.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 xml:space="preserve">2. Многократное </w:t>
      </w:r>
      <w:proofErr w:type="spellStart"/>
      <w:r>
        <w:rPr>
          <w:sz w:val="20"/>
        </w:rPr>
        <w:t>прозвучивание</w:t>
      </w:r>
      <w:proofErr w:type="spellEnd"/>
      <w:r>
        <w:rPr>
          <w:sz w:val="20"/>
        </w:rPr>
        <w:t xml:space="preserve"> конструкций по одному сечению или участку расценивается как за одно</w:t>
      </w:r>
      <w:r>
        <w:rPr>
          <w:sz w:val="20"/>
        </w:rPr>
        <w:t xml:space="preserve"> место.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Цены на определение прочности кирпичной кладки в конструкциях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right"/>
        <w:rPr>
          <w:sz w:val="20"/>
        </w:rPr>
      </w:pPr>
      <w:r>
        <w:rPr>
          <w:sz w:val="20"/>
        </w:rPr>
        <w:t>Таблица 14</w:t>
      </w:r>
    </w:p>
    <w:p w:rsidR="00000000" w:rsidRDefault="0075009F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Виды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Цена за единицу измерения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Определение прочности кирпичной кладки ультразвуковыми приборами с измерением времени прохождения ультразвукового импульса с камеральной обработкой и составлением заключения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 количестве мест определения: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до 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одно место испытаний (см, примечание)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то же, от 51 до 150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то же, от 151 до 250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то же, от 251 до 350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 то же, от 351 до 500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) то же, более 500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b/>
          <w:i/>
          <w:sz w:val="20"/>
        </w:rPr>
        <w:t>Примечание.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 xml:space="preserve">1. Многократное </w:t>
      </w:r>
      <w:proofErr w:type="spellStart"/>
      <w:r>
        <w:rPr>
          <w:sz w:val="20"/>
        </w:rPr>
        <w:t>прозвучивание</w:t>
      </w:r>
      <w:proofErr w:type="spellEnd"/>
      <w:r>
        <w:rPr>
          <w:sz w:val="20"/>
        </w:rPr>
        <w:t xml:space="preserve"> конструкций по одному сечению или участку расценивается как за одно место.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3.4. Стоимость преддоговорных работ определяется из расчета 6% от стоимости выполнения отдельных видов работ, указанных в таблицах 12, 13, 14.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3.5. Затраты на подготовку аппаратуры для испытаний, доставку ее к месту работы и обратно, перенос во время испытаний компенсируются коэффициентом 1,15 к ценам, предусмотренным таблицам</w:t>
      </w:r>
      <w:r>
        <w:rPr>
          <w:sz w:val="20"/>
        </w:rPr>
        <w:t>и 12, 13, 14.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4. ПОРЯДОК ОПРЕДЕЛЕНИЯ СТОИМОСТИ ОТБОРА ПРОБ И ИСПЫТАНИЯ СТРОИТЕЛЬНЫХ МАТЕРИАЛОВ</w:t>
      </w:r>
    </w:p>
    <w:p w:rsidR="00000000" w:rsidRDefault="0075009F">
      <w:pPr>
        <w:ind w:firstLine="284"/>
        <w:jc w:val="center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4.1. Базовая цена работ предусмотренных настоящей главой определяется по таблице 15.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b/>
          <w:sz w:val="20"/>
        </w:rPr>
      </w:pPr>
      <w:r>
        <w:rPr>
          <w:b/>
          <w:i/>
          <w:sz w:val="20"/>
        </w:rPr>
        <w:t>Цены на отбор проб и испытания строительных материалов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right"/>
        <w:rPr>
          <w:sz w:val="20"/>
        </w:rPr>
      </w:pPr>
      <w:r>
        <w:rPr>
          <w:sz w:val="20"/>
        </w:rPr>
        <w:t>Таблица 15</w:t>
      </w:r>
    </w:p>
    <w:p w:rsidR="00000000" w:rsidRDefault="0075009F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Цепа за единицу измерения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1. Физико-механические испытания бетона: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отбор образцов из конструкций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образец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выпиливание куба правильной формы с осмотром и описанием вида заполнителя: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1) куба с размерам</w:t>
            </w:r>
            <w:r>
              <w:rPr>
                <w:sz w:val="20"/>
              </w:rPr>
              <w:t>и 20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20 см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кубик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2) куба с размерами 10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10 см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3) куба с размерами 7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 см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4) куба с размерами 3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3 см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осмотр конструкций и высверливание керна с торцовкой плоскостей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образец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испытание образца и обработка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образец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2. Физико-механические испытания бетона методом отрыва со скалыванием: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внешний осмотр с определением места испытания, сверление отверстия в теле бетона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установка анкеров испытание прибором ГПНВ-5 с замером глу</w:t>
            </w:r>
            <w:r>
              <w:rPr>
                <w:sz w:val="20"/>
              </w:rPr>
              <w:t xml:space="preserve">бины </w:t>
            </w:r>
            <w:proofErr w:type="spellStart"/>
            <w:r>
              <w:rPr>
                <w:sz w:val="20"/>
              </w:rPr>
              <w:t>вырыва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обработка результатов испытаний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3. Физико-механические испытания бетона методом отрыва: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внешний осмотр конструкции, выбор места испытания с зачисткой бетона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приготовление клеящего состава, обезжиривание поверхности, наклеивание штампов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штамп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в)отрыв бетона с помощью прибора ГПНВ-5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обработка результатов испытаний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4. Физико-механические испытания бетона методом скола ребра: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внешний осмотр конструкции и выбор места испыта</w:t>
            </w:r>
            <w:r>
              <w:rPr>
                <w:sz w:val="20"/>
              </w:rPr>
              <w:t>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место (не менее 3 сколов)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установка анкерной рамы на конструкцию и испытание прибором ГПНВ-5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обработка результатов испытания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Определение карбонизации бетона с помощью раствора фенолфталеина: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высверливание кернов с помощью кольцевых сверл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смачивание керна индикаторным раствором и замер толщины карбонизации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обработка результатов испытания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Определение защитного слоя бетона и диаметра арматуры прибором ИЗС-10М (ИЗС-2)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ме</w:t>
            </w:r>
            <w:r>
              <w:rPr>
                <w:sz w:val="20"/>
              </w:rPr>
              <w:t>сто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7. Вырубка </w:t>
            </w:r>
            <w:proofErr w:type="spellStart"/>
            <w:r>
              <w:rPr>
                <w:sz w:val="20"/>
              </w:rPr>
              <w:t>штрабы</w:t>
            </w:r>
            <w:proofErr w:type="spellEnd"/>
            <w:r>
              <w:rPr>
                <w:sz w:val="20"/>
              </w:rPr>
              <w:t xml:space="preserve"> (вскрытие арматуры) для замера диаметра арматуры и определение класса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8. Физико-механические испытания кирпича: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кирпич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внешний осмотр объекта и определение мест отбора проб кирпича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отбор кирпича из тела кладки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внешний осмотр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определение объемного веса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 подготовка образца и испытание на сжатие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) подготовка образца и испытание на изгиб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ж) определение </w:t>
            </w:r>
            <w:proofErr w:type="spellStart"/>
            <w:r>
              <w:rPr>
                <w:sz w:val="20"/>
              </w:rPr>
              <w:t>водопоглощения</w:t>
            </w:r>
            <w:proofErr w:type="spellEnd"/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>) испытание на мор</w:t>
            </w:r>
            <w:r>
              <w:rPr>
                <w:sz w:val="20"/>
              </w:rPr>
              <w:t>озостойкость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и) обработка результатов испытания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9. Физико-механические испытания образцов раствора с выпиливанием плиток, склеиванием и выравниванием поверхности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проба (6 штук)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обработка результатов испытания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10. Испытание древесины: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определение влажности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проба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микологический анализ (определение вида грибка)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11. Физико-механические и химические испытания стали: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внешний осмотр и определение мест отбора проб металла: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образец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6) в</w:t>
            </w:r>
            <w:r>
              <w:rPr>
                <w:sz w:val="20"/>
              </w:rPr>
              <w:t>ырезка образцов из элементов конструкций (совместно с резчиком) с заделкой ослабленных мест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в) физико-механические испытания стали с изготовлением образцов и определение механических характеристик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определение химического состава стали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) обработка результатов испытаний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12. Определение физических характеристик материалов кровли: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а) вскрытие кровли с отбором образцов (кровли, утеплителя)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место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б) взвешивание составляющих кровли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в) определение </w:t>
            </w:r>
            <w:r>
              <w:rPr>
                <w:sz w:val="20"/>
              </w:rPr>
              <w:t>влажности составляющих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both"/>
              <w:rPr>
                <w:sz w:val="20"/>
              </w:rPr>
            </w:pPr>
            <w:r>
              <w:rPr>
                <w:sz w:val="20"/>
              </w:rPr>
              <w:t>г) обработка результатов вскрытия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500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2,28</w:t>
            </w:r>
          </w:p>
        </w:tc>
      </w:tr>
    </w:tbl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b/>
          <w:i/>
          <w:sz w:val="20"/>
        </w:rPr>
        <w:t>Примечание.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При выполнении работ по отбору образцов строительных материалов на высоте до 9 м применять коэффициент 1; при высоте до 15 м - коэффициент 1,5; при высоте более 15 м -2.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4.2. Стоимость преддоговорных работ определяется из расчета 4% от стоимости выполнения работ, указанных в таблице 15.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</w:p>
    <w:p w:rsidR="00000000" w:rsidRDefault="0075009F">
      <w:pPr>
        <w:ind w:firstLine="284"/>
        <w:jc w:val="right"/>
        <w:rPr>
          <w:sz w:val="20"/>
        </w:rPr>
      </w:pPr>
    </w:p>
    <w:p w:rsidR="00000000" w:rsidRDefault="0075009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ПОРЯДОК ОПРЕДЕЛЕНИЯ СТРОИТЕЛЬНОГО ОБЪЕМА И</w:t>
      </w:r>
    </w:p>
    <w:p w:rsidR="00000000" w:rsidRDefault="0075009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ВЫСОТЫ ЗДАНИЙ И СООРУЖЕНИЙ</w:t>
      </w:r>
    </w:p>
    <w:p w:rsidR="00000000" w:rsidRDefault="0075009F">
      <w:pPr>
        <w:ind w:firstLine="284"/>
        <w:jc w:val="center"/>
        <w:rPr>
          <w:sz w:val="20"/>
        </w:rPr>
      </w:pPr>
    </w:p>
    <w:p w:rsidR="00000000" w:rsidRDefault="0075009F">
      <w:pPr>
        <w:ind w:firstLine="284"/>
        <w:jc w:val="center"/>
        <w:rPr>
          <w:b/>
          <w:i/>
          <w:sz w:val="20"/>
        </w:rPr>
      </w:pPr>
      <w:r>
        <w:rPr>
          <w:b/>
          <w:sz w:val="20"/>
        </w:rPr>
        <w:t xml:space="preserve">1. </w:t>
      </w:r>
      <w:r>
        <w:rPr>
          <w:b/>
          <w:i/>
          <w:sz w:val="20"/>
        </w:rPr>
        <w:t>Определение строительного объема зданий ч соор</w:t>
      </w:r>
      <w:r>
        <w:rPr>
          <w:b/>
          <w:i/>
          <w:sz w:val="20"/>
        </w:rPr>
        <w:t>ужений</w:t>
      </w:r>
    </w:p>
    <w:p w:rsidR="00000000" w:rsidRDefault="0075009F">
      <w:pPr>
        <w:ind w:firstLine="284"/>
        <w:jc w:val="center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  <w:lang w:val="en-US"/>
        </w:rPr>
        <w:t>1.1.</w:t>
      </w:r>
      <w:r>
        <w:rPr>
          <w:sz w:val="20"/>
        </w:rPr>
        <w:t xml:space="preserve"> Строительный объем надземной части одноэтажных или многоэтажных зданий определяется умножением площади вертикального поперечного сечения по внешнему контуру стен и покрытия на длину здания, измеренную между наружными поверхностями торцевых стен на уровне первого этажа выше цоколя.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1.2. Строительный объем светоаэрационных фонарей или куполов, выступающих над плоскостью кровли, определяется тем же методом (см. п. 1.1).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1.3. Строительный объем подземной части здания или сооружения определяется умн</w:t>
      </w:r>
      <w:r>
        <w:rPr>
          <w:sz w:val="20"/>
        </w:rPr>
        <w:t>ожением горизонтального сечения по внешнему контуру стен на уровне первого этажа по цоколю на высоту, измеренную от уровня чистого пола первого этажа до уровня пола подвала или цокольного этажа.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1.4. При определении отдельных объемов здания, отличающихся высотой, стена, разграничивающая часть здания, относится к той части, которой она соответствует по высоте или конструкции.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1.5. За отдельный объем принимается часть здания, отличающаяся от примыкающей части высотой от пола до выступающей нижней части покрыт</w:t>
      </w:r>
      <w:r>
        <w:rPr>
          <w:sz w:val="20"/>
        </w:rPr>
        <w:t>ия.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1.6. Строительный объем открытых эстакад определяется умножением поперечного сечения эстакады по наружным граням колонн и самой высокой точки поперечника на длину эстакады. Высота принимается по уровню головки рельсов.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1.7. В зданиях, состоящих из нескольких объемов с различными высотами или различными конструктивными схемами, базовая цена работ определяется по каждому объему раздельно.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Базовая цена обмерных работ и обследований встроенных помещений определяется как для самостоятельного объема.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2. Опре</w:t>
      </w:r>
      <w:r>
        <w:rPr>
          <w:b/>
          <w:i/>
          <w:sz w:val="20"/>
        </w:rPr>
        <w:t>деление высоты здания или сооружения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2.1. За высоту одноэтажных зданий и сооружений принимается расстояние уровня чистого пола или подвала до низа несущих конструкций покрытия или чердачного перекрытия на опоре.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2.2. За высоту многоэтажных зданий и сооружений принимается расстояние от первого этажа или подвала до плоскости потолка последнего этажа (в том числе подвесного).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center"/>
        <w:rPr>
          <w:sz w:val="20"/>
        </w:rPr>
      </w:pPr>
      <w:r>
        <w:rPr>
          <w:b/>
          <w:i/>
          <w:sz w:val="20"/>
        </w:rPr>
        <w:t>СОДЕРЖАНИЕ</w:t>
      </w:r>
    </w:p>
    <w:p w:rsidR="00000000" w:rsidRDefault="0075009F">
      <w:pPr>
        <w:ind w:firstLine="284"/>
        <w:jc w:val="both"/>
        <w:rPr>
          <w:sz w:val="20"/>
        </w:rPr>
      </w:pP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 xml:space="preserve">1. Основные положения 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2. Порядок определения базовой цены обмерных работ и обследований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 xml:space="preserve">3. Порядок определения стоимости </w:t>
      </w:r>
      <w:r>
        <w:rPr>
          <w:sz w:val="20"/>
        </w:rPr>
        <w:t xml:space="preserve">выполнения </w:t>
      </w:r>
      <w:proofErr w:type="spellStart"/>
      <w:r>
        <w:rPr>
          <w:sz w:val="20"/>
        </w:rPr>
        <w:t>вибродинамических</w:t>
      </w:r>
      <w:proofErr w:type="spellEnd"/>
      <w:r>
        <w:rPr>
          <w:sz w:val="20"/>
        </w:rPr>
        <w:t xml:space="preserve"> испытаний, определения прочности кирпича и бетона в  конструкциях неразрушающими методами 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 xml:space="preserve">4. Порядок определения базовой цены отбора проб и испытания строительных материалов 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Приложение</w:t>
      </w:r>
    </w:p>
    <w:p w:rsidR="00000000" w:rsidRDefault="0075009F">
      <w:pPr>
        <w:ind w:firstLine="284"/>
        <w:jc w:val="both"/>
        <w:rPr>
          <w:sz w:val="20"/>
        </w:rPr>
      </w:pPr>
      <w:r>
        <w:rPr>
          <w:sz w:val="20"/>
        </w:rPr>
        <w:t>Порядок определения строительного объема и высоты зданий и сооружений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09F"/>
    <w:rsid w:val="0075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5048</Words>
  <Characters>28774</Characters>
  <Application>Microsoft Office Word</Application>
  <DocSecurity>0</DocSecurity>
  <Lines>239</Lines>
  <Paragraphs>67</Paragraphs>
  <ScaleCrop>false</ScaleCrop>
  <Company>Elcom Ltd</Company>
  <LinksUpToDate>false</LinksUpToDate>
  <CharactersWithSpaces>33755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МИНЗЕМСТРОЙ РОССИИ ГП "ЦЕНТРИНВЕСТПРОЕКТ"</dc:title>
  <dc:subject/>
  <dc:creator>CNTI</dc:creator>
  <cp:keywords/>
  <dc:description/>
  <cp:lastModifiedBy>Parhomeiai</cp:lastModifiedBy>
  <cp:revision>2</cp:revision>
  <dcterms:created xsi:type="dcterms:W3CDTF">2013-04-11T12:25:00Z</dcterms:created>
  <dcterms:modified xsi:type="dcterms:W3CDTF">2013-04-11T12:25:00Z</dcterms:modified>
</cp:coreProperties>
</file>