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2903">
      <w:pPr>
        <w:spacing w:line="240" w:lineRule="auto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МИНИСТЕРСТВО СТРОИТЕЛЬСТВА РОССИЙСКОЙ ФЕДЕРАЦИИ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  <w:r>
        <w:rPr>
          <w:sz w:val="20"/>
        </w:rPr>
        <w:t>(МИНСТРОЙ РОССИИ)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СПРАВОЧНИК БАЗОВЫХ ЦЕН</w:t>
      </w:r>
    </w:p>
    <w:p w:rsidR="00000000" w:rsidRDefault="00FD2903">
      <w:pPr>
        <w:pStyle w:val="FR1"/>
        <w:spacing w:before="0" w:line="240" w:lineRule="auto"/>
        <w:ind w:right="0" w:firstLine="284"/>
        <w:rPr>
          <w:sz w:val="20"/>
        </w:rPr>
      </w:pPr>
      <w:r>
        <w:rPr>
          <w:sz w:val="20"/>
        </w:rPr>
        <w:t>НА ПРОЕКТНЫЕ РАБОТЫ ДЛЯ СТРОИТЕЛЬСТВА</w:t>
      </w:r>
    </w:p>
    <w:p w:rsidR="00000000" w:rsidRDefault="00FD2903">
      <w:pPr>
        <w:pStyle w:val="FR1"/>
        <w:spacing w:before="0" w:line="240" w:lineRule="auto"/>
        <w:ind w:right="0" w:firstLine="284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ОБЪЕКТЫ РЕЧНОГО ТРАНСПОРТА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  <w:r>
        <w:rPr>
          <w:b/>
          <w:sz w:val="20"/>
        </w:rPr>
        <w:t>Утвержден Министерством строительства Российской Федерации</w:t>
      </w:r>
    </w:p>
    <w:p w:rsidR="00000000" w:rsidRDefault="00FD29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(Постановление от 08.02.95 г.  № 18-14)</w:t>
      </w:r>
    </w:p>
    <w:p w:rsidR="00000000" w:rsidRDefault="00FD29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по согласованию с Департаментом речного транспорта</w:t>
      </w:r>
    </w:p>
    <w:p w:rsidR="00000000" w:rsidRDefault="00FD2903">
      <w:pPr>
        <w:spacing w:line="240" w:lineRule="auto"/>
        <w:ind w:firstLine="284"/>
        <w:jc w:val="center"/>
        <w:rPr>
          <w:b/>
          <w:sz w:val="20"/>
        </w:rPr>
      </w:pPr>
      <w:r>
        <w:rPr>
          <w:b/>
          <w:sz w:val="20"/>
        </w:rPr>
        <w:t>Министерства транспорта Российской Федерации</w:t>
      </w:r>
    </w:p>
    <w:p w:rsidR="00000000" w:rsidRDefault="00FD2903">
      <w:pPr>
        <w:spacing w:line="240" w:lineRule="auto"/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(Письмо от 21.11.94. № 7-4</w:t>
      </w:r>
      <w:r>
        <w:rPr>
          <w:b/>
          <w:sz w:val="20"/>
          <w:lang w:val="en-US"/>
        </w:rPr>
        <w:t>/</w:t>
      </w:r>
      <w:r>
        <w:rPr>
          <w:b/>
          <w:sz w:val="20"/>
        </w:rPr>
        <w:t>123)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(Объекты речного транспорта)  разработан ГП</w:t>
      </w:r>
      <w:r>
        <w:rPr>
          <w:sz w:val="20"/>
          <w:lang w:val="en-US"/>
        </w:rPr>
        <w:t xml:space="preserve"> </w:t>
      </w:r>
      <w:r>
        <w:rPr>
          <w:sz w:val="20"/>
        </w:rPr>
        <w:t>"ЦЕНТРИНВЕСТпроект" Минстроя России и АО</w:t>
      </w:r>
      <w:r>
        <w:rPr>
          <w:sz w:val="20"/>
          <w:lang w:val="en-US"/>
        </w:rPr>
        <w:t xml:space="preserve"> </w:t>
      </w:r>
      <w:r>
        <w:rPr>
          <w:sz w:val="20"/>
        </w:rPr>
        <w:t>"Гипроречтранс" Министерства транспорта России.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Справочник базовых цен на проектные работы для строительства (Объекты речного транспорта) вводится в действие с 1марта 1</w:t>
      </w:r>
      <w:r>
        <w:rPr>
          <w:sz w:val="20"/>
          <w:lang w:val="en-US"/>
        </w:rPr>
        <w:t>9</w:t>
      </w:r>
      <w:r>
        <w:rPr>
          <w:sz w:val="20"/>
        </w:rPr>
        <w:t>95 года.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Разъяснения и консультации по вопросам применения настояще</w:t>
      </w:r>
      <w:r>
        <w:rPr>
          <w:sz w:val="20"/>
        </w:rPr>
        <w:t>го Справочника осуществляет</w:t>
      </w:r>
      <w:r>
        <w:rPr>
          <w:sz w:val="20"/>
          <w:lang w:val="en-US"/>
        </w:rPr>
        <w:t xml:space="preserve"> </w:t>
      </w:r>
      <w:r>
        <w:rPr>
          <w:sz w:val="20"/>
        </w:rPr>
        <w:t>ГП "ЦЕНТРИНВЕСТпроект" Минстроя России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 xml:space="preserve">(125057. г. Москва, Ленинградский пр. 63, тел.(095) 157-39-42) и </w:t>
      </w:r>
      <w:r>
        <w:rPr>
          <w:sz w:val="20"/>
        </w:rPr>
        <w:t>АО "Гипроречтранс "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(105058, г. Москва, Окружной проезд, 15 , тел. (095) 365-45-88).</w:t>
      </w:r>
    </w:p>
    <w:p w:rsidR="00000000" w:rsidRDefault="00FD2903">
      <w:pPr>
        <w:spacing w:line="240" w:lineRule="auto"/>
        <w:ind w:firstLine="284"/>
        <w:jc w:val="both"/>
        <w:rPr>
          <w:i/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i/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1. ОСНОВНЫЕ ПОЛОЖЕНИЯ</w:t>
      </w:r>
    </w:p>
    <w:p w:rsidR="00000000" w:rsidRDefault="00FD2903">
      <w:pPr>
        <w:spacing w:line="240" w:lineRule="auto"/>
        <w:ind w:firstLine="284"/>
        <w:jc w:val="center"/>
        <w:rPr>
          <w:b/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1.1. Справочник базовых  цен на проектные  работы  для строительства ( далее именуемый "Справочник" ) рекомендуется для определения базовых цен с целью последующего формирования договорных  цен на разработку проектно - сметной документации для строительства объектов реч</w:t>
      </w:r>
      <w:r>
        <w:rPr>
          <w:sz w:val="20"/>
        </w:rPr>
        <w:t>ного транспорта.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1.2. Цены в Справочнике установлены в зависимости от общей стоимости строительства объектов проектирования, кроме водных подходов и рейдов, стоимость проектирования которых определяется от натуральных показателей. Цены установлены без учета налога на добавленную стоимость и  спецналога.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1.3. Справочник предназначен для применения организациями различных организационно-правовых форм, имеющих лицензию на выполнение соответствующих проектных работ для строительства и имеющих согласно законодат</w:t>
      </w:r>
      <w:r>
        <w:rPr>
          <w:sz w:val="20"/>
        </w:rPr>
        <w:t>ельству Российской Федерации статус юридического лица.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1.4. Цены в Справочнике учитывают все затраты, включаемые в состав себестоимости в соответствии с "Методическими рекомендациями  по составу и учету затрат, включаемых в себестоимость проектной и изыскательской продукции (работ, услуг) для строительства и формирования финансовых результатов", утвержденными Госстроем России от 6 апреля 1994 года, и прибыль.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1.5. В  Справочнике  приведены  цены на индивидуальное проектирование нового строительства объектов</w:t>
      </w:r>
      <w:r>
        <w:rPr>
          <w:sz w:val="20"/>
        </w:rPr>
        <w:t xml:space="preserve"> речного транспорта, состоящих из комплекса зданий и сооружений.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1.6. Цены установлены применительно к составу, порядку разработки, согласования и утверждения проектно-сметной документации, регламентированными в установленном порядке.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1.7. Ценами Справочника не учтены :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указанных в задании на проектирование проектных решений в нескольких вариантах;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рабочих чертежей на специальные вспомогательные сооружения, приспособления, устройства и установки для производства строительно-монтажн</w:t>
      </w:r>
      <w:r>
        <w:rPr>
          <w:sz w:val="20"/>
        </w:rPr>
        <w:t>ых работ;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решений по монументально-декоративному оформлению предприятии, зданий и сооружений;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внесение изменений в проектно-сметную документацию (за исключением исправлений ошибок, допущенных проектной организацией);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• разработка деталировочных чертежей металлических конструкций (КМД) и </w:t>
      </w:r>
      <w:r>
        <w:rPr>
          <w:sz w:val="20"/>
        </w:rPr>
        <w:lastRenderedPageBreak/>
        <w:t>технологических трубопроводов заводского изготовления;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обследования и обмерные работы на объектах, подлежащих реконструкции, расширению и техническому перевооружению;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конструкторской документаци</w:t>
      </w:r>
      <w:r>
        <w:rPr>
          <w:sz w:val="20"/>
        </w:rPr>
        <w:t>и на изготовление изделий единичного и мелкосерийного производства, кроме составления исходных требований, необходимых для разработки технического задания на выполнение этой документации;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демонстрационные макеты;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авторский надзор;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научно-исследовательские и опытно-экспериментальные работы;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маркетинговые услуги;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затраты на служебные командировки;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проектов производства строительно-монтажных работ (ППР);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автоматизированных систем управления предприятием (АСУП) и автоматизиро</w:t>
      </w:r>
      <w:r>
        <w:rPr>
          <w:sz w:val="20"/>
        </w:rPr>
        <w:t>ванных систем управления технологическими процессами (АСУТП);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• разработка проектно-сметной документации на строительство временных зданий и сооружений для нужд строительных организаций;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2. ПОРЯДОК ОПРЕДЕЛЕНИЯ БАЗОВОЙ ЦЕНЫ НА ПРОЕКТНЫЕ РАБОТЫ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2.1. Базовая цена разработки проектной и рабочей документации устанавливается в процентах от общей стоимости строительства в зависимости от категории сложности объекта проектирования (за исключением объектов, указанных в таблице 2).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2.2. В базовую цену проектных рабо</w:t>
      </w:r>
      <w:r>
        <w:rPr>
          <w:sz w:val="20"/>
        </w:rPr>
        <w:t>т, определяемых по таблице1, включается стоимость всего комплекса зданий, сооружений и видов проектных работ, нашедших отражение в Сводном сметном расчете стоимости строительства, за исключением стоимости работ, перечисленных в п. 1.7.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2.3. Базовая стоимость строительства для определения базовой цены проектных работ определяется по объекту-аналогу с учетом их сопоставимости или по укрупненным показателям стоимости строительства (на единицу показателей: 1 кв. м общей площади, 1 куб. м объема зданий, 1 п. м т</w:t>
      </w:r>
      <w:r>
        <w:rPr>
          <w:sz w:val="20"/>
        </w:rPr>
        <w:t>рассы, 1 га застройки, на единицу мощности, производительности и др.).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2.4. Базовая цена проектных работ по таблице № 1 определяется путем умножения величины общей стоимости строительства в текущих ценах на процент (%), определенный по таблице 1, по формуле:</w:t>
      </w:r>
    </w:p>
    <w:p w:rsidR="00000000" w:rsidRDefault="00FD2903">
      <w:pPr>
        <w:spacing w:line="240" w:lineRule="auto"/>
        <w:ind w:firstLine="284"/>
        <w:jc w:val="center"/>
        <w:rPr>
          <w:i/>
          <w:sz w:val="20"/>
        </w:rPr>
      </w:pPr>
      <w:r>
        <w:rPr>
          <w:position w:val="-14"/>
          <w:sz w:val="20"/>
        </w:rPr>
        <w:object w:dxaOrig="20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75pt;height:18.75pt" o:ole="">
            <v:imagedata r:id="rId4" o:title=""/>
          </v:shape>
          <o:OLEObject Type="Embed" ProgID="Equation.3" ShapeID="_x0000_i1025" DrawAspect="Content" ObjectID="_1427232293" r:id="rId5"/>
        </w:object>
      </w:r>
      <w:r>
        <w:rPr>
          <w:sz w:val="20"/>
        </w:rPr>
        <w:t xml:space="preserve">,   </w:t>
      </w:r>
      <w:r>
        <w:rPr>
          <w:i/>
          <w:sz w:val="20"/>
        </w:rPr>
        <w:t>где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position w:val="-14"/>
          <w:sz w:val="20"/>
        </w:rPr>
        <w:object w:dxaOrig="440" w:dyaOrig="380">
          <v:shape id="_x0000_i1026" type="#_x0000_t75" style="width:21.75pt;height:18.75pt" o:ole="">
            <v:imagedata r:id="rId6" o:title=""/>
          </v:shape>
          <o:OLEObject Type="Embed" ProgID="Equation.3" ShapeID="_x0000_i1026" DrawAspect="Content" ObjectID="_1427232294" r:id="rId7"/>
        </w:object>
      </w:r>
      <w:r>
        <w:rPr>
          <w:sz w:val="20"/>
        </w:rPr>
        <w:t xml:space="preserve"> - базовая цена проектных работ в текущих ценах, млн. руб.;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position w:val="-14"/>
          <w:sz w:val="20"/>
        </w:rPr>
        <w:object w:dxaOrig="480" w:dyaOrig="380">
          <v:shape id="_x0000_i1027" type="#_x0000_t75" style="width:24pt;height:18.75pt" o:ole="">
            <v:imagedata r:id="rId8" o:title=""/>
          </v:shape>
          <o:OLEObject Type="Embed" ProgID="Equation.3" ShapeID="_x0000_i1027" DrawAspect="Content" ObjectID="_1427232295" r:id="rId9"/>
        </w:object>
      </w:r>
      <w:r>
        <w:rPr>
          <w:sz w:val="20"/>
        </w:rPr>
        <w:t xml:space="preserve"> - стоимость строительства в текущих ценах, млн. руб.;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sym w:font="Symbol" w:char="F061"/>
      </w:r>
      <w:r>
        <w:rPr>
          <w:sz w:val="20"/>
        </w:rPr>
        <w:t xml:space="preserve"> - процент базовой цены от общей стоимости строительства в текущих це</w:t>
      </w:r>
      <w:r>
        <w:rPr>
          <w:sz w:val="20"/>
        </w:rPr>
        <w:t xml:space="preserve">нах.  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Базовая цена проектных работ по объектам, приведенным в таблице 2, определяется по формуле:</w:t>
      </w:r>
    </w:p>
    <w:p w:rsidR="00000000" w:rsidRDefault="00FD2903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i/>
          <w:position w:val="-12"/>
          <w:sz w:val="20"/>
        </w:rPr>
        <w:object w:dxaOrig="1680" w:dyaOrig="360">
          <v:shape id="_x0000_i1028" type="#_x0000_t75" style="width:84pt;height:18pt" o:ole="">
            <v:imagedata r:id="rId10" o:title=""/>
          </v:shape>
          <o:OLEObject Type="Embed" ProgID="Equation.3" ShapeID="_x0000_i1028" DrawAspect="Content" ObjectID="_1427232296" r:id="rId11"/>
        </w:object>
      </w:r>
      <w:r>
        <w:rPr>
          <w:i/>
          <w:sz w:val="20"/>
        </w:rPr>
        <w:t>,  где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 xml:space="preserve">Ц   </w:t>
      </w:r>
      <w:r>
        <w:rPr>
          <w:b/>
          <w:i/>
          <w:sz w:val="20"/>
        </w:rPr>
        <w:t>-</w:t>
      </w:r>
      <w:r>
        <w:rPr>
          <w:sz w:val="20"/>
        </w:rPr>
        <w:t xml:space="preserve"> базовая цена проектных работ,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а, Ь</w:t>
      </w:r>
      <w:r>
        <w:rPr>
          <w:b/>
          <w:i/>
          <w:sz w:val="20"/>
        </w:rPr>
        <w:t xml:space="preserve"> -</w:t>
      </w:r>
      <w:r>
        <w:rPr>
          <w:sz w:val="20"/>
        </w:rPr>
        <w:t xml:space="preserve"> постоянные величины для определенного интервала основного показателя проектируемого объекта, приведенные в Справочнике, в тыс. руб.;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i/>
          <w:sz w:val="20"/>
        </w:rPr>
        <w:t>х -</w:t>
      </w:r>
      <w:r>
        <w:rPr>
          <w:sz w:val="20"/>
        </w:rPr>
        <w:t xml:space="preserve"> основной показатель проектируемого объекта;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b/>
          <w:position w:val="-12"/>
          <w:sz w:val="20"/>
        </w:rPr>
        <w:object w:dxaOrig="300" w:dyaOrig="360">
          <v:shape id="_x0000_i1029" type="#_x0000_t75" style="width:15pt;height:18pt" o:ole="">
            <v:imagedata r:id="rId12" o:title=""/>
          </v:shape>
          <o:OLEObject Type="Embed" ProgID="Equation.3" ShapeID="_x0000_i1029" DrawAspect="Content" ObjectID="_1427232297" r:id="rId13"/>
        </w:object>
      </w:r>
      <w:r>
        <w:rPr>
          <w:b/>
          <w:sz w:val="20"/>
        </w:rPr>
        <w:t>-</w:t>
      </w:r>
      <w:r>
        <w:rPr>
          <w:sz w:val="20"/>
        </w:rPr>
        <w:t xml:space="preserve"> повышающий коэффициент, отражающий инфляционные процессы на момент определения цены.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Уровень цен, содержащихся в таблицах, установлен по сос</w:t>
      </w:r>
      <w:r>
        <w:rPr>
          <w:sz w:val="20"/>
        </w:rPr>
        <w:t>тоянию на 01.01.95 г.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2.5. Распределение базовой цены проектной и рабочей документации, определенной по таблице № 1, осуществляется по приведенной ниже таблице и может уточняться по соглашению между исполнителем и заказчиком.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111"/>
        <w:gridCol w:w="411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Виды документации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 от базовой цены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Проектная документация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Рабочая документация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111" w:type="dxa"/>
          </w:tcPr>
          <w:p w:rsidR="00000000" w:rsidRDefault="00FD2903">
            <w:pPr>
              <w:spacing w:line="240" w:lineRule="auto"/>
              <w:ind w:firstLine="0"/>
              <w:rPr>
                <w:sz w:val="20"/>
              </w:rPr>
            </w:pPr>
            <w:r>
              <w:rPr>
                <w:sz w:val="20"/>
              </w:rPr>
              <w:t>Итого</w:t>
            </w:r>
          </w:p>
        </w:tc>
        <w:tc>
          <w:tcPr>
            <w:tcW w:w="4111" w:type="dxa"/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</w:tr>
    </w:tbl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lastRenderedPageBreak/>
        <w:t>Базовая цена рабочего проекта составляет 85% от общей цены.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2.6. Базовая цена проектных работ с использованием проектно-сметной документации повторного или массового применения (</w:t>
      </w:r>
      <w:r>
        <w:rPr>
          <w:sz w:val="20"/>
        </w:rPr>
        <w:t>"привязка") определяется с применением коэффициента до 0.5 в зависимости от трудоемкости работ по согласованию с заказчиком.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2.7. Базовая цена проектно-сметной документации на реконструкцию и техническое перевооружение определяется с применением коэффициента до 2.0, устанавливаемого проектной организацией по согласованию с заказчиком.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2.8. Категория сложности проектируемого объекта для определения базовой цены по таблице 1 устанавливается на основе номенклатуры объектов речного транспорта, приведенной в таб</w:t>
      </w:r>
      <w:r>
        <w:rPr>
          <w:sz w:val="20"/>
        </w:rPr>
        <w:t>лице 3.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Базовые цены. в зависимости от общей стоимости строительства</w:t>
      </w:r>
    </w:p>
    <w:p w:rsidR="00000000" w:rsidRDefault="00FD2903">
      <w:pPr>
        <w:spacing w:line="240" w:lineRule="auto"/>
        <w:ind w:firstLine="284"/>
        <w:jc w:val="center"/>
        <w:rPr>
          <w:i/>
          <w:sz w:val="20"/>
        </w:rPr>
      </w:pPr>
    </w:p>
    <w:p w:rsidR="00000000" w:rsidRDefault="00FD2903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1</w:t>
      </w:r>
    </w:p>
    <w:p w:rsidR="00000000" w:rsidRDefault="00FD2903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27"/>
        <w:gridCol w:w="992"/>
        <w:gridCol w:w="992"/>
        <w:gridCol w:w="992"/>
        <w:gridCol w:w="1014"/>
        <w:gridCol w:w="921"/>
        <w:gridCol w:w="11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 стоимости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Базовая цена на проектные работы от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строительства</w:t>
            </w:r>
          </w:p>
        </w:tc>
        <w:tc>
          <w:tcPr>
            <w:tcW w:w="60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общей стоимости строительства в текущих ценах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(млн. руб.)</w:t>
            </w:r>
          </w:p>
        </w:tc>
        <w:tc>
          <w:tcPr>
            <w:tcW w:w="6095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проценты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текущих ценах</w:t>
            </w:r>
          </w:p>
        </w:tc>
        <w:tc>
          <w:tcPr>
            <w:tcW w:w="609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II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01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92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>
              <w:rPr>
                <w:sz w:val="20"/>
              </w:rPr>
              <w:t>.6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6.0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7.0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1.9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5.8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6.3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6.5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5.5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5.9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5.2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5.4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15000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0.8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4.4</w:t>
            </w:r>
          </w:p>
        </w:tc>
        <w:tc>
          <w:tcPr>
            <w:tcW w:w="101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4.6</w:t>
            </w:r>
          </w:p>
        </w:tc>
        <w:tc>
          <w:tcPr>
            <w:tcW w:w="92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4.8</w:t>
            </w:r>
          </w:p>
        </w:tc>
        <w:tc>
          <w:tcPr>
            <w:tcW w:w="118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5.</w:t>
            </w:r>
            <w:r>
              <w:rPr>
                <w:sz w:val="20"/>
              </w:rP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30000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0.5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101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92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4.0</w:t>
            </w:r>
          </w:p>
        </w:tc>
        <w:tc>
          <w:tcPr>
            <w:tcW w:w="118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4.5</w:t>
            </w:r>
          </w:p>
        </w:tc>
      </w:tr>
    </w:tbl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i/>
          <w:sz w:val="20"/>
          <w:lang w:val="en-US"/>
        </w:rPr>
      </w:pPr>
      <w:r>
        <w:rPr>
          <w:i/>
          <w:sz w:val="20"/>
        </w:rPr>
        <w:t>Базовые цены в зависимости от натуральных</w:t>
      </w:r>
      <w:r>
        <w:rPr>
          <w:i/>
          <w:sz w:val="20"/>
          <w:lang w:val="en-US"/>
        </w:rPr>
        <w:t xml:space="preserve"> </w:t>
      </w:r>
      <w:r>
        <w:rPr>
          <w:i/>
          <w:sz w:val="20"/>
        </w:rPr>
        <w:t>показателей объектов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right"/>
        <w:rPr>
          <w:sz w:val="20"/>
          <w:lang w:val="en-US"/>
        </w:rPr>
      </w:pPr>
      <w:r>
        <w:rPr>
          <w:sz w:val="20"/>
        </w:rPr>
        <w:t>Таблица 2</w:t>
      </w:r>
    </w:p>
    <w:p w:rsidR="00000000" w:rsidRDefault="00FD2903">
      <w:pPr>
        <w:spacing w:line="240" w:lineRule="auto"/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1161"/>
        <w:gridCol w:w="682"/>
        <w:gridCol w:w="708"/>
        <w:gridCol w:w="1418"/>
        <w:gridCol w:w="1276"/>
        <w:gridCol w:w="9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Основной показатель объекта</w:t>
            </w:r>
          </w:p>
        </w:tc>
        <w:tc>
          <w:tcPr>
            <w:tcW w:w="13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Постоянные величины цены разработки проектно- сметной документации (тыс. руб.)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Стадия проектирования в процентах (%%)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Проектная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Рабочая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Рабочий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документация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проект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Водные подходы протяженностью, км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2.5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Объект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2924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2.5 до 10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км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2138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315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62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Рейды, шт.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2-х</w:t>
            </w:r>
          </w:p>
        </w:tc>
        <w:tc>
          <w:tcPr>
            <w:tcW w:w="11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шт.</w:t>
            </w:r>
          </w:p>
        </w:tc>
        <w:tc>
          <w:tcPr>
            <w:tcW w:w="68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2663</w:t>
            </w:r>
          </w:p>
        </w:tc>
        <w:tc>
          <w:tcPr>
            <w:tcW w:w="70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св. 2 до 6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Рейд</w:t>
            </w:r>
          </w:p>
        </w:tc>
        <w:tc>
          <w:tcPr>
            <w:tcW w:w="68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1184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740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85</w:t>
            </w:r>
          </w:p>
        </w:tc>
      </w:tr>
    </w:tbl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i/>
          <w:sz w:val="20"/>
        </w:rPr>
      </w:pPr>
      <w:r>
        <w:rPr>
          <w:i/>
          <w:sz w:val="20"/>
        </w:rPr>
        <w:t>Номенклатура объектов строительства на речном транспорте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right"/>
        <w:rPr>
          <w:sz w:val="20"/>
        </w:rPr>
      </w:pPr>
      <w:r>
        <w:rPr>
          <w:sz w:val="20"/>
        </w:rPr>
        <w:t>Таблица 3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8"/>
        <w:gridCol w:w="59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Категория сложности проектирования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проектирования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Подводные переходы трубопроводов и кабелей.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Грузовые причальные набережные и пирсы. Береговые укрепления. Причальные и защитные сооружения.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III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Пассажирские порты и портовые районы. Причалы: для негабаритных и тяжеловесных грузов; для приема сточных вод и сухого мусора; комплексного обслуживания флота</w:t>
            </w:r>
            <w:r>
              <w:rPr>
                <w:sz w:val="20"/>
              </w:rPr>
              <w:t>. Переправы.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IV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Речные порты, портовые районы.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</w:t>
            </w:r>
          </w:p>
        </w:tc>
        <w:tc>
          <w:tcPr>
            <w:tcW w:w="59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Судоремонтно-судостроительные пред- приятия. Здания и сооружения судоремонтно-судостроительных предприятий.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VI</w:t>
            </w:r>
          </w:p>
        </w:tc>
        <w:tc>
          <w:tcPr>
            <w:tcW w:w="59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2903">
            <w:pPr>
              <w:spacing w:line="240" w:lineRule="auto"/>
              <w:ind w:firstLine="0"/>
              <w:jc w:val="both"/>
              <w:rPr>
                <w:sz w:val="20"/>
              </w:rPr>
            </w:pPr>
            <w:r>
              <w:rPr>
                <w:sz w:val="20"/>
              </w:rPr>
              <w:t>Судоходные шлюзы и судоходные плотины.</w:t>
            </w:r>
          </w:p>
        </w:tc>
      </w:tr>
    </w:tbl>
    <w:p w:rsidR="00000000" w:rsidRDefault="00FD2903">
      <w:pPr>
        <w:spacing w:line="240" w:lineRule="auto"/>
        <w:ind w:firstLine="284"/>
        <w:jc w:val="both"/>
        <w:rPr>
          <w:b/>
          <w:i/>
          <w:sz w:val="20"/>
        </w:rPr>
      </w:pPr>
    </w:p>
    <w:p w:rsidR="00000000" w:rsidRDefault="00FD2903">
      <w:pPr>
        <w:spacing w:line="240" w:lineRule="auto"/>
        <w:ind w:firstLine="284"/>
        <w:jc w:val="center"/>
        <w:rPr>
          <w:b/>
          <w:i/>
          <w:sz w:val="20"/>
        </w:rPr>
      </w:pPr>
      <w:r>
        <w:rPr>
          <w:b/>
          <w:i/>
          <w:sz w:val="20"/>
        </w:rPr>
        <w:t>СОДЕРЖАНИЕ</w:t>
      </w:r>
    </w:p>
    <w:p w:rsidR="00000000" w:rsidRDefault="00FD2903">
      <w:pPr>
        <w:spacing w:line="240" w:lineRule="auto"/>
        <w:ind w:firstLine="284"/>
        <w:jc w:val="center"/>
        <w:rPr>
          <w:sz w:val="20"/>
        </w:rPr>
      </w:pP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 xml:space="preserve">1. Основные положения 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2. Порядок определения базовой цены на проектные работы</w:t>
      </w:r>
    </w:p>
    <w:p w:rsidR="00000000" w:rsidRDefault="00FD2903">
      <w:pPr>
        <w:spacing w:line="240" w:lineRule="auto"/>
        <w:ind w:firstLine="284"/>
        <w:jc w:val="both"/>
        <w:rPr>
          <w:sz w:val="20"/>
        </w:rPr>
      </w:pPr>
      <w:r>
        <w:rPr>
          <w:sz w:val="20"/>
        </w:rPr>
        <w:t>3. Номенклатура объектов строительства на речном транспорте</w:t>
      </w:r>
    </w:p>
    <w:sectPr w:rsidR="00000000">
      <w:pgSz w:w="11900" w:h="16820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2903"/>
    <w:rsid w:val="00FD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spacing w:line="320" w:lineRule="auto"/>
      <w:ind w:firstLine="56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before="1600" w:line="260" w:lineRule="auto"/>
      <w:ind w:right="200"/>
      <w:jc w:val="center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theme" Target="theme/theme1.xml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1313</Words>
  <Characters>7490</Characters>
  <Application>Microsoft Office Word</Application>
  <DocSecurity>0</DocSecurity>
  <Lines>62</Lines>
  <Paragraphs>17</Paragraphs>
  <ScaleCrop>false</ScaleCrop>
  <Company>Elcom Ltd</Company>
  <LinksUpToDate>false</LinksUpToDate>
  <CharactersWithSpaces>8786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СТРОИТЕЛЬСТВА РОССИЙСКОЙ ФЕДЕРАЦИИ</dc:title>
  <dc:subject/>
  <dc:creator>ЦНТИ</dc:creator>
  <cp:keywords/>
  <dc:description/>
  <cp:lastModifiedBy>Parhomeiai</cp:lastModifiedBy>
  <cp:revision>2</cp:revision>
  <dcterms:created xsi:type="dcterms:W3CDTF">2013-04-11T12:26:00Z</dcterms:created>
  <dcterms:modified xsi:type="dcterms:W3CDTF">2013-04-11T12:26:00Z</dcterms:modified>
</cp:coreProperties>
</file>