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49B2">
      <w:pPr>
        <w:spacing w:line="240" w:lineRule="auto"/>
        <w:ind w:left="0"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МИНИСТЕРСТВО СТРОИТЕЛЬСТВА РОССИЙСКОЙ ФЕДЕРАЦИИ </w:t>
      </w:r>
    </w:p>
    <w:p w:rsidR="00000000" w:rsidRDefault="008349B2">
      <w:pPr>
        <w:spacing w:line="240" w:lineRule="auto"/>
        <w:ind w:left="0" w:firstLine="284"/>
        <w:jc w:val="center"/>
        <w:rPr>
          <w:sz w:val="20"/>
        </w:rPr>
      </w:pPr>
      <w:r>
        <w:rPr>
          <w:sz w:val="20"/>
        </w:rPr>
        <w:t>(МИНСТРОЙ РОССИИ)</w:t>
      </w:r>
    </w:p>
    <w:p w:rsidR="00000000" w:rsidRDefault="008349B2">
      <w:pPr>
        <w:spacing w:line="240" w:lineRule="auto"/>
        <w:ind w:left="0" w:firstLine="284"/>
        <w:jc w:val="center"/>
        <w:rPr>
          <w:sz w:val="20"/>
        </w:rPr>
      </w:pPr>
    </w:p>
    <w:p w:rsidR="00000000" w:rsidRDefault="008349B2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 xml:space="preserve">СПРАВОЧНИК БАЗОВЫХ ЦЕН </w:t>
      </w:r>
    </w:p>
    <w:p w:rsidR="00000000" w:rsidRDefault="008349B2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НА ПРОЕКТНЫЕ РАБОТЫ ДЛЯ СТРОИТЕЛЬСТВА</w:t>
      </w:r>
    </w:p>
    <w:p w:rsidR="00000000" w:rsidRDefault="008349B2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jc w:val="center"/>
        <w:rPr>
          <w:sz w:val="20"/>
        </w:rPr>
      </w:pPr>
      <w:r>
        <w:rPr>
          <w:b/>
          <w:i/>
          <w:sz w:val="20"/>
        </w:rPr>
        <w:t>ОБЪЕКТЫ МАШИНОСТРОИТЕЛЬНОЙ</w:t>
      </w:r>
    </w:p>
    <w:p w:rsidR="00000000" w:rsidRDefault="008349B2">
      <w:pPr>
        <w:pStyle w:val="FR1"/>
        <w:ind w:left="0" w:firstLine="284"/>
        <w:jc w:val="center"/>
        <w:rPr>
          <w:caps/>
          <w:sz w:val="20"/>
        </w:rPr>
      </w:pPr>
      <w:r>
        <w:rPr>
          <w:caps/>
          <w:sz w:val="20"/>
        </w:rPr>
        <w:t>промышленности</w:t>
      </w:r>
    </w:p>
    <w:p w:rsidR="00000000" w:rsidRDefault="008349B2">
      <w:pPr>
        <w:pStyle w:val="FR1"/>
        <w:ind w:left="0" w:firstLine="284"/>
        <w:jc w:val="center"/>
        <w:rPr>
          <w:caps/>
          <w:sz w:val="20"/>
        </w:rPr>
      </w:pPr>
    </w:p>
    <w:p w:rsidR="00000000" w:rsidRDefault="008349B2">
      <w:pPr>
        <w:spacing w:line="240" w:lineRule="auto"/>
        <w:ind w:left="0" w:firstLine="284"/>
        <w:jc w:val="center"/>
        <w:rPr>
          <w:sz w:val="20"/>
        </w:rPr>
      </w:pPr>
      <w:r>
        <w:rPr>
          <w:b/>
          <w:sz w:val="20"/>
        </w:rPr>
        <w:t>Утвержден министерством строительства</w:t>
      </w:r>
    </w:p>
    <w:p w:rsidR="00000000" w:rsidRDefault="008349B2">
      <w:pPr>
        <w:spacing w:line="240" w:lineRule="auto"/>
        <w:ind w:left="0" w:firstLine="284"/>
        <w:jc w:val="center"/>
        <w:rPr>
          <w:sz w:val="20"/>
        </w:rPr>
      </w:pPr>
      <w:r>
        <w:rPr>
          <w:b/>
          <w:sz w:val="20"/>
        </w:rPr>
        <w:t>Российской Федерации</w:t>
      </w:r>
    </w:p>
    <w:p w:rsidR="00000000" w:rsidRDefault="008349B2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(Постановление Минстроя</w:t>
      </w:r>
      <w:r>
        <w:rPr>
          <w:b/>
          <w:sz w:val="20"/>
        </w:rPr>
        <w:t xml:space="preserve"> России </w:t>
      </w:r>
    </w:p>
    <w:p w:rsidR="00000000" w:rsidRDefault="008349B2">
      <w:pPr>
        <w:spacing w:line="240" w:lineRule="auto"/>
        <w:ind w:left="0" w:firstLine="284"/>
        <w:jc w:val="center"/>
        <w:rPr>
          <w:sz w:val="20"/>
        </w:rPr>
      </w:pPr>
      <w:r>
        <w:rPr>
          <w:b/>
          <w:sz w:val="20"/>
        </w:rPr>
        <w:t>от 11.08.95 №18-82)</w:t>
      </w:r>
    </w:p>
    <w:p w:rsidR="00000000" w:rsidRDefault="008349B2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по согласованию с Комитетом Российской Федерации </w:t>
      </w:r>
    </w:p>
    <w:p w:rsidR="00000000" w:rsidRDefault="008349B2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по машиностроению от 16.02.95 г. № 8/3-11-30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машиностроительной промышленности" разработан ГП "ЦЕНТРИНВЕСТпроект" Минстроя России и Акционерным обществом "Институт по генеральному проектированию заводов тяжелого и транспортного машиностроения" (АО "Гипротяжмаш").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машиностроительной промышлен</w:t>
      </w:r>
      <w:r>
        <w:rPr>
          <w:sz w:val="20"/>
        </w:rPr>
        <w:t>ности" вводится в действие с 31 августа 1995 г.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 xml:space="preserve">Разъяснения и консультации по вопросам применения настоящего Справочника осуществляет ГП "ЦЕНТРИНВЕСТпроект" Минстроя России </w:t>
      </w:r>
      <w:r>
        <w:rPr>
          <w:i/>
          <w:sz w:val="20"/>
        </w:rPr>
        <w:t>(125067. г. Москва. Ленинградский пр.. 63: тел. (095) 157-39-42)</w:t>
      </w:r>
      <w:r>
        <w:rPr>
          <w:sz w:val="20"/>
        </w:rPr>
        <w:t xml:space="preserve"> и АО "Гипротяжмаш" </w:t>
      </w:r>
      <w:r>
        <w:rPr>
          <w:i/>
          <w:sz w:val="20"/>
        </w:rPr>
        <w:t>(109147. г. Москва,</w:t>
      </w:r>
      <w:r>
        <w:rPr>
          <w:sz w:val="20"/>
        </w:rPr>
        <w:t xml:space="preserve"> </w:t>
      </w:r>
      <w:r>
        <w:rPr>
          <w:i/>
          <w:sz w:val="20"/>
        </w:rPr>
        <w:t>ул. Марксистская, д. 22; тел. (095) 272-21-61).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1. ОСНОВНЫЕ ПОЛОЖЕНИЯ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1.1. Справочник базовых цен на проектные работы для строительства (далее именуемый "Справочник") рекомендуется для определения базовых цен с целью последующего фор</w:t>
      </w:r>
      <w:r>
        <w:rPr>
          <w:sz w:val="20"/>
        </w:rPr>
        <w:t xml:space="preserve">мирования договорных цен на разработку проектно-сметной документации для строительства объектов машиностроительной промышленности (заводов, отдельных корпусов, зданий и сооружений). 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 xml:space="preserve">1.2. Базовые цены в Справочнике установлены в зависимости от общей стоимости строительства объектов проектирования без учета налога на добавленную стоимость и спецналога. 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1.3. Справочник предназначен для применения организациями различных организационно-правовых форм, имеющих лицензию на выполнение соответствующих проектных ра</w:t>
      </w:r>
      <w:r>
        <w:rPr>
          <w:sz w:val="20"/>
        </w:rPr>
        <w:t>бот для строительства и имеющих согласно законодательству Российской Федерации статус юридического лица.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1.4. Цены в Справочнике учитывают все затраты, включаемые в состав себестоимости в соответствии с Методическими рекомендациями по составу и учету затрат, включаемых в себестоимость проектной и изыскательской продукции (работ, услуг) для строительства, и формированию финансовых результатов, утвержденными Госстроем России 6 апреля 1994 года, и прибыль (кроме затрат на служебные командировки).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1.5. В Справо</w:t>
      </w:r>
      <w:r>
        <w:rPr>
          <w:sz w:val="20"/>
        </w:rPr>
        <w:t>чнике приведены цены на индивидуальное проектирование нового строительства объектов машиностроительной промышленности, состоящих из комплекса зданий и сооружений.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1.6. Цены установлены применительно к порядку разработки, согласования, утверждения и составу проектной документации, регламентированными в установленном порядке.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1.7. Ценами Справочника не учтены: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указанных в задании на проектирование проектных решений в нескольких вариантах;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рабочих чертежей на специальные вспомогательн</w:t>
      </w:r>
      <w:r>
        <w:rPr>
          <w:sz w:val="20"/>
        </w:rPr>
        <w:t>ые сооружения, приспособления, устройства и установки для производства строительно-монтажных работ;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решений по монументально-декоративному оформлению зданий, сооружений;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внесение изменений в проектную документацию (за исключением исправления ошибок, допущенных проектной организацией);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lastRenderedPageBreak/>
        <w:t>• разработка деталировочных чертежей металлических конструкций (КМД) и технологических трубопроводов заводского изготовления;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 xml:space="preserve">• обследования и обмерные работы на объектах, подлежащих реконструкции, расширению и </w:t>
      </w:r>
      <w:r>
        <w:rPr>
          <w:sz w:val="20"/>
        </w:rPr>
        <w:t>техническому перевооружению;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конструкторской документации по оборудованию индивидуального изготовления, кроме составления исходных требований, необходимых для разработки технического задания на выполнение этой документации;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демонстрационные макеты;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авторский надзор;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научно-исследовательские и опытно-экспериментальные работы;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маркетинговые услуги;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проектные работы по ассимиляции производства</w:t>
      </w:r>
      <w:r>
        <w:rPr>
          <w:smallCaps/>
          <w:sz w:val="20"/>
        </w:rPr>
        <w:t>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работы по сбору исходных данных и обработке показателей</w:t>
      </w:r>
      <w:r>
        <w:rPr>
          <w:sz w:val="20"/>
        </w:rPr>
        <w:t xml:space="preserve"> по трудоемкости изделий-представителей;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технологических процессов;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проектов производства строительно-монтажных работ (ППР);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проектирование временных зданий и сооружений для нужд строительных организаций;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автоматизированных систем управления предприятием  (АСУП) и автоматизированных систем управления технологическими процессами (АСУ ТП);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2. ПОРЯДОК ОПРЕДЕЛЕНИЯ ВАЗОВОЙ ЦЕНЫ ПРОЕКТНЫХ РАБОТ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2.1. Базовая цена разработки проектной документации (проект рабочая документа</w:t>
      </w:r>
      <w:r>
        <w:rPr>
          <w:sz w:val="20"/>
        </w:rPr>
        <w:t>ция) устанавливается в процентах от общей стоимости строительства в зависимости от категории сложности объекта проектирования.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2.2. В базовую цену проектных работ включается стоимость всего комплекса зданий, сооружений и видов проектных работ, нашедших отражение в Сводном сметном расчете стоимости строительства, за исключением стоимости работ, перечисленных в п. 1.7.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2.3. Базовая стоимость строительства для определения базовой цены проектных работ определяется по объекту-аналогу с учетом их сопоставимости и</w:t>
      </w:r>
      <w:r>
        <w:rPr>
          <w:sz w:val="20"/>
        </w:rPr>
        <w:t>ли по укрупненным удельным показателям стоимости строительства (1м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общей площади,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объема здания).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2.4. Базовая цена проектных работ определяется путем умножения величины общей стоимости строительства в текущих ценах на процент (%), определенный по таблице, по формуле: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i/>
          <w:sz w:val="24"/>
        </w:rPr>
        <w:t xml:space="preserve">                         </w:t>
      </w:r>
      <w:r>
        <w:rPr>
          <w:i/>
          <w:sz w:val="22"/>
        </w:rPr>
        <w:t>Ц</w:t>
      </w:r>
      <w:r>
        <w:rPr>
          <w:i/>
          <w:sz w:val="22"/>
          <w:vertAlign w:val="subscript"/>
        </w:rPr>
        <w:t>пр</w:t>
      </w:r>
      <w:r>
        <w:rPr>
          <w:i/>
          <w:sz w:val="22"/>
        </w:rPr>
        <w:t xml:space="preserve"> - (С</w:t>
      </w:r>
      <w:r>
        <w:rPr>
          <w:i/>
          <w:sz w:val="22"/>
          <w:vertAlign w:val="subscript"/>
        </w:rPr>
        <w:t>стр</w:t>
      </w:r>
      <w:r>
        <w:rPr>
          <w:i/>
          <w:sz w:val="22"/>
        </w:rPr>
        <w:t xml:space="preserve"> х </w:t>
      </w:r>
      <w:r>
        <w:rPr>
          <w:i/>
          <w:sz w:val="22"/>
        </w:rPr>
        <w:sym w:font="Symbol" w:char="F061"/>
      </w:r>
      <w:r>
        <w:rPr>
          <w:i/>
          <w:sz w:val="22"/>
        </w:rPr>
        <w:t>) / 100</w:t>
      </w:r>
      <w:r>
        <w:rPr>
          <w:sz w:val="20"/>
        </w:rPr>
        <w:t xml:space="preserve"> ,    где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i/>
          <w:sz w:val="20"/>
        </w:rPr>
        <w:t>Ц</w:t>
      </w:r>
      <w:r>
        <w:rPr>
          <w:i/>
          <w:sz w:val="20"/>
          <w:vertAlign w:val="subscript"/>
        </w:rPr>
        <w:t>пр</w:t>
      </w:r>
      <w:r>
        <w:rPr>
          <w:sz w:val="20"/>
        </w:rPr>
        <w:t xml:space="preserve"> - базовая цена проектных работ в текущих ценах, млн. руб.;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i/>
          <w:sz w:val="20"/>
        </w:rPr>
        <w:t>С</w:t>
      </w:r>
      <w:r>
        <w:rPr>
          <w:i/>
          <w:sz w:val="20"/>
          <w:vertAlign w:val="subscript"/>
        </w:rPr>
        <w:t>стр</w:t>
      </w:r>
      <w:r>
        <w:rPr>
          <w:i/>
          <w:sz w:val="20"/>
        </w:rPr>
        <w:t xml:space="preserve"> -</w:t>
      </w:r>
      <w:r>
        <w:rPr>
          <w:sz w:val="20"/>
        </w:rPr>
        <w:t xml:space="preserve"> стоимость строительства в текущих ценах, млн. руб.;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</w:rPr>
        <w:t xml:space="preserve"> - </w:t>
      </w:r>
      <w:r>
        <w:rPr>
          <w:sz w:val="20"/>
        </w:rPr>
        <w:t xml:space="preserve">процент базовой цены от общей стоимости строительства </w:t>
      </w:r>
      <w:r>
        <w:rPr>
          <w:sz w:val="20"/>
        </w:rPr>
        <w:t>в ценах 1991 г.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Процент базовой цены проектных работ определяется по таблице 1.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Для промежуточных значений показателей стоимости строительства процент базовой цены проектных работ определяется путем интерполяции.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Базовые цены в зависимости, от общей стоимости строительства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2277"/>
        <w:gridCol w:w="1418"/>
        <w:gridCol w:w="1417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стоимость строительства в ценах 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1991 г. в млн. руб.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Категории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.0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45.0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55.0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1.95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90.0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125.0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1.87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190.0 и более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1.85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1.97</w:t>
            </w:r>
          </w:p>
        </w:tc>
      </w:tr>
    </w:tbl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2.5. Распределение базовой цены проекта и рабочей документации осуществляется, как правило, по таблице 2 относительной стоимости и может уточняться ме</w:t>
      </w:r>
      <w:r>
        <w:rPr>
          <w:sz w:val="20"/>
        </w:rPr>
        <w:t>жду исполнителем и заказчиком.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2.6. Базовая цена проектных работ с использованием проектной документации повторного или массового применения ("привязка") определяется с применением следующих коэффициентов по согласованию с заказчиком;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без внесения изменений - до 0.35;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 внесением изменений  - до 0.8.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66"/>
        <w:gridCol w:w="1302"/>
        <w:gridCol w:w="878"/>
        <w:gridCol w:w="1390"/>
        <w:gridCol w:w="850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сложности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от базовой цены проектных работ при общей стоимости строительства в ценах 1991 г. в млн.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проектируемого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15 до 40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Рабочая документ</w:t>
            </w:r>
            <w:r>
              <w:rPr>
                <w:sz w:val="20"/>
              </w:rPr>
              <w:t>ация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Рабочая документация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3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49B2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</w:p>
        </w:tc>
      </w:tr>
    </w:tbl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jc w:val="center"/>
        <w:rPr>
          <w:sz w:val="20"/>
          <w:lang w:val="en-US"/>
        </w:rPr>
      </w:pPr>
      <w:r>
        <w:rPr>
          <w:sz w:val="20"/>
        </w:rPr>
        <w:t>Базовая цена рабочего проекта составляет 90% от общей цены.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2.7. Базовая цена проектных работ на реконструкцию и техническое перевооружение определяется в соответствии с пунктом 2</w:t>
      </w:r>
      <w:r>
        <w:rPr>
          <w:sz w:val="20"/>
          <w:lang w:val="en-US"/>
        </w:rPr>
        <w:t>.</w:t>
      </w:r>
      <w:r>
        <w:rPr>
          <w:sz w:val="20"/>
        </w:rPr>
        <w:t>4 с применением коэффициенте до 2.0, устанавливаемого проектной организацией по согласованию с заказчиком.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2.8. Категория сложности проектируемого объекта устанавливается на основе</w:t>
      </w:r>
      <w:r>
        <w:rPr>
          <w:sz w:val="20"/>
        </w:rPr>
        <w:t xml:space="preserve"> номенклатуры объектов машиностроительной промышленности, приведенной в приложении.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2.9. Базовая цена работ по сбору исходных данных и обработке показателей по трудоемкости изделий-представителей определяется в процентах от технологической часта проекта: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при одном изделии  - 20%;      при  шести  -  десяти  - 80%;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при   двух  -  пяти    - 50%;      при более, чем десяти - 90%.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2.10. Базовая цена разработки технологических процессов, если эта; работа предусмотрена заданием на проектирование может быть опреде</w:t>
      </w:r>
      <w:r>
        <w:rPr>
          <w:sz w:val="20"/>
        </w:rPr>
        <w:t>лена в размере до 50</w:t>
      </w:r>
      <w:r>
        <w:rPr>
          <w:i/>
          <w:sz w:val="20"/>
        </w:rPr>
        <w:t>%</w:t>
      </w:r>
      <w:r>
        <w:rPr>
          <w:sz w:val="20"/>
        </w:rPr>
        <w:t xml:space="preserve"> от цены на разработку технологической части проекта..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2.11. Базовая цена проектных работ по ассимиляции производства отделяется, путем применения к ценам настоящего Справочника следующих коэффициентов: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до 0.70 - для разработки проекта;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до 0.45 - для разработки рабочего проекта;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до 0.35   для разработки рабочей документации.</w:t>
      </w:r>
    </w:p>
    <w:p w:rsidR="00000000" w:rsidRDefault="008349B2">
      <w:pPr>
        <w:spacing w:line="240" w:lineRule="auto"/>
        <w:ind w:left="0" w:firstLine="284"/>
        <w:rPr>
          <w:b/>
          <w:sz w:val="20"/>
        </w:rPr>
      </w:pPr>
    </w:p>
    <w:p w:rsidR="00000000" w:rsidRDefault="008349B2">
      <w:pPr>
        <w:spacing w:line="240" w:lineRule="auto"/>
        <w:ind w:left="0" w:firstLine="284"/>
        <w:rPr>
          <w:b/>
          <w:sz w:val="20"/>
        </w:rPr>
      </w:pP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</w:p>
    <w:p w:rsidR="00000000" w:rsidRDefault="008349B2">
      <w:pPr>
        <w:spacing w:line="240" w:lineRule="auto"/>
        <w:ind w:left="0" w:firstLine="284"/>
        <w:jc w:val="center"/>
        <w:rPr>
          <w:sz w:val="20"/>
        </w:rPr>
      </w:pPr>
    </w:p>
    <w:p w:rsidR="00000000" w:rsidRDefault="008349B2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 xml:space="preserve">НОМЕНКЛАТУРА ОБЪЕКТОВ </w:t>
      </w:r>
    </w:p>
    <w:p w:rsidR="00000000" w:rsidRDefault="008349B2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i/>
          <w:sz w:val="20"/>
        </w:rPr>
        <w:t>МАШИНОСТРОИТЕЛЬНОЙ ПРОМЫШЛЕННОСТИ</w:t>
      </w:r>
    </w:p>
    <w:p w:rsidR="00000000" w:rsidRDefault="008349B2">
      <w:pPr>
        <w:spacing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(по категориям сложности проектирования)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b/>
          <w:i/>
          <w:sz w:val="20"/>
          <w:u w:val="single"/>
        </w:rPr>
        <w:t>I категория</w:t>
      </w:r>
      <w:r>
        <w:rPr>
          <w:sz w:val="20"/>
        </w:rPr>
        <w:t xml:space="preserve"> - заводы и объекты основного производ</w:t>
      </w:r>
      <w:r>
        <w:rPr>
          <w:sz w:val="20"/>
        </w:rPr>
        <w:t>ственного назначения: по производству электроосветительной аппаратуры, по производству сварных металлоконструкций, по производству электросварочного оборудования и оборудования металлопокрытий, по производству электроугольных изделий, по выпуску несложных (без кинематических схем) товаров народного потребления, другие объекты машиностроения по производству несложной продукции.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b/>
          <w:i/>
          <w:sz w:val="20"/>
          <w:u w:val="single"/>
        </w:rPr>
        <w:t>II категория</w:t>
      </w:r>
      <w:r>
        <w:rPr>
          <w:i/>
          <w:sz w:val="20"/>
        </w:rPr>
        <w:t xml:space="preserve"> </w:t>
      </w:r>
      <w:r>
        <w:rPr>
          <w:sz w:val="20"/>
        </w:rPr>
        <w:t>- заводы и объекты основного производственного назначения: по производству котельно-вспомогательного оборудования, элек</w:t>
      </w:r>
      <w:r>
        <w:rPr>
          <w:sz w:val="20"/>
        </w:rPr>
        <w:t>тротехнического оборудования (подстанции, распредустройства и др.), по выпуску мотоциклов и велосипедов, деревообрабатывающего и ручного строительного, а также абразивного и алмазного инструмента, другие объекты машиностроения средней сложности проектирования.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b/>
          <w:i/>
          <w:sz w:val="20"/>
          <w:u w:val="single"/>
        </w:rPr>
        <w:t>Ш категория</w:t>
      </w:r>
      <w:r>
        <w:rPr>
          <w:b/>
          <w:i/>
          <w:sz w:val="20"/>
        </w:rPr>
        <w:t xml:space="preserve"> -</w:t>
      </w:r>
      <w:r>
        <w:rPr>
          <w:sz w:val="20"/>
        </w:rPr>
        <w:t xml:space="preserve"> заводы и объекты основного производственного назначения: подъемно- транспортного, металлургического и горно-шахтного машиностроения, строительно-дорожного машиностроения, сельскохозяйственного и лесохозяйственного машиностроения (прицепн</w:t>
      </w:r>
      <w:r>
        <w:rPr>
          <w:sz w:val="20"/>
        </w:rPr>
        <w:t>ое оборудование) и машиностроения для кормопроизводства, по производству машин и приборов для железнодорожного транспорта, инструментального производства, путевого машиностроения, машиностроения для легкой и пищевой промышленности, а также бытовых приборов, по производству гидроаппаратуры и редукторов, по выпуску механизированного строительного инструмента, по производству нестандартизированного и специального технологического оборудования, электромашиностроения и приборостроения, здания и сооружения дерево</w:t>
      </w:r>
      <w:r>
        <w:rPr>
          <w:sz w:val="20"/>
        </w:rPr>
        <w:t>обрабатывающих цехов всех категорий сложности, вагонотепловозо-электровозо- и авторемонтные предприятия, ремонтные предприятия угольной промышленности, ремонтные предприятия сельскохозяйственной техники, другие объекты машиностроения повышенной сложности проектирования.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b/>
          <w:i/>
          <w:sz w:val="20"/>
          <w:u w:val="single"/>
        </w:rPr>
        <w:t>IV категория</w:t>
      </w:r>
      <w:r>
        <w:rPr>
          <w:i/>
          <w:sz w:val="20"/>
        </w:rPr>
        <w:t xml:space="preserve"> </w:t>
      </w:r>
      <w:r>
        <w:rPr>
          <w:sz w:val="20"/>
        </w:rPr>
        <w:t>- заводы и объекты основного производственного назначения: вагоностроения (грузового и пассажирского), тепловозостроения, энергетического машиностроения, автомобилестроения и тракторного машиностроения, дизелестроения, комбайнос</w:t>
      </w:r>
      <w:r>
        <w:rPr>
          <w:sz w:val="20"/>
        </w:rPr>
        <w:t>троения, подшипниковой промышленности, электровозостроения, станкостроения, химического машиностроения, по производству сложного сантехнического оборудования, все здания цехов литейного, кузнечного и прессового производства, здания окрасочных цехов и цехов металлопокрытий в заводах и комплексах всех категорий сложности, другие объекты машиностроения высокой сложности проектирования.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p w:rsidR="00000000" w:rsidRDefault="008349B2">
      <w:pPr>
        <w:spacing w:line="240" w:lineRule="auto"/>
        <w:ind w:left="0" w:firstLine="284"/>
        <w:rPr>
          <w:b/>
          <w:i/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8349B2">
      <w:pPr>
        <w:spacing w:line="240" w:lineRule="auto"/>
        <w:ind w:left="0" w:firstLine="284"/>
        <w:rPr>
          <w:b/>
          <w:sz w:val="20"/>
        </w:rPr>
      </w:pP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 xml:space="preserve">1. Основные положения 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 xml:space="preserve">2. Порядок определения базовой цены проектных работ 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Приложение:</w:t>
      </w:r>
    </w:p>
    <w:p w:rsidR="00000000" w:rsidRDefault="008349B2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Номенклатура объектов маш</w:t>
      </w:r>
      <w:r>
        <w:rPr>
          <w:sz w:val="20"/>
        </w:rPr>
        <w:t xml:space="preserve">иностроительной промышленности </w:t>
      </w:r>
    </w:p>
    <w:p w:rsidR="00000000" w:rsidRDefault="008349B2">
      <w:pPr>
        <w:spacing w:line="240" w:lineRule="auto"/>
        <w:ind w:left="0" w:firstLine="284"/>
        <w:rPr>
          <w:sz w:val="20"/>
        </w:rPr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9B2"/>
    <w:rsid w:val="008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20" w:lineRule="auto"/>
      <w:ind w:left="120" w:firstLine="56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2440"/>
      <w:textAlignment w:val="baseline"/>
    </w:pPr>
    <w:rPr>
      <w:b/>
      <w:i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100" w:line="260" w:lineRule="auto"/>
      <w:ind w:left="320" w:right="800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1647</Words>
  <Characters>9394</Characters>
  <Application>Microsoft Office Word</Application>
  <DocSecurity>0</DocSecurity>
  <Lines>78</Lines>
  <Paragraphs>22</Paragraphs>
  <ScaleCrop>false</ScaleCrop>
  <Company>Elcom Ltd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 РОССИЙСКОЙ ФЕДЕРАЦИИ 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