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0A7B">
      <w:pPr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МИНСТРОЙ РОССИИ </w:t>
      </w:r>
    </w:p>
    <w:p w:rsidR="00000000" w:rsidRDefault="003A0A7B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ГП "ЦЕНТРИНВЕСТпроект"</w:t>
      </w:r>
    </w:p>
    <w:p w:rsidR="00000000" w:rsidRDefault="003A0A7B">
      <w:pPr>
        <w:ind w:firstLine="284"/>
        <w:jc w:val="center"/>
        <w:rPr>
          <w:sz w:val="20"/>
        </w:rPr>
      </w:pPr>
    </w:p>
    <w:p w:rsidR="00000000" w:rsidRDefault="003A0A7B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ПРАКТИЧЕСКОЕ ПОСОБИЕ</w:t>
      </w:r>
    </w:p>
    <w:p w:rsidR="00000000" w:rsidRDefault="003A0A7B">
      <w:pPr>
        <w:ind w:firstLine="284"/>
        <w:jc w:val="center"/>
        <w:rPr>
          <w:sz w:val="20"/>
        </w:rPr>
      </w:pPr>
    </w:p>
    <w:p w:rsidR="00000000" w:rsidRDefault="003A0A7B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 ПРИМЕНЕНИЮ СПРАВОЧНИКА БАЗОВЫХ ЦЕН </w:t>
      </w:r>
    </w:p>
    <w:p w:rsidR="00000000" w:rsidRDefault="003A0A7B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НА ПРОЕКТНЫЕ РАБОТЫ ДЛЯ СТРОИТЕЛЬСТВА ОБЪЕКТОВ </w:t>
      </w:r>
    </w:p>
    <w:p w:rsidR="00000000" w:rsidRDefault="003A0A7B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ЦЕЛЛЮЛОЗНО-БУМАЖНОЙ ПРОМЫШЛЕННОСТИ</w:t>
      </w:r>
    </w:p>
    <w:p w:rsidR="00000000" w:rsidRDefault="003A0A7B">
      <w:pPr>
        <w:ind w:firstLine="284"/>
        <w:jc w:val="center"/>
        <w:rPr>
          <w:sz w:val="20"/>
        </w:rPr>
      </w:pP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(Общие положения)</w:t>
      </w:r>
    </w:p>
    <w:p w:rsidR="00000000" w:rsidRDefault="003A0A7B">
      <w:pPr>
        <w:ind w:firstLine="284"/>
        <w:rPr>
          <w:b/>
          <w:i/>
          <w:sz w:val="20"/>
        </w:rPr>
      </w:pP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 настоящем Пособии приводятся: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1. Разъяснения осн</w:t>
      </w:r>
      <w:r>
        <w:rPr>
          <w:sz w:val="20"/>
        </w:rPr>
        <w:t>овных положений Справочника базовых цен на проектные работы для строительства "Объекты целлюлозно-бумажной промышленности" и порядка определения базовой цены проектных работ.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2. Разъяснения порядка определения базовой цены разработки отдельных видов проектных и непроектных работ, не нашедших отражения в Справочнике базовых цен.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3. Пример определения базовой цены проектных работ.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4. Номенклатура и удельный вес цены проектирования зданий цехов и сооружений, входящих в состав заводов и фабрик.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b/>
          <w:i/>
          <w:sz w:val="20"/>
          <w:u w:val="single"/>
        </w:rPr>
        <w:t>Составители: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от</w:t>
      </w:r>
      <w:r>
        <w:rPr>
          <w:sz w:val="20"/>
        </w:rPr>
        <w:t>дел экономики и ценообразования в проектировании ГП "ЦЕНТРИНВЕСТпроект" Минстроя России;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консультативно-инженерное акционерное общество по проектированию целлюлозно-бумажной промышленности (АО "Гипробум").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ВВЕДЕНИЕ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объектов целлюлозно-бумажной промышленности разработан ГП "ЦЕНТРИНВЕСТпроект" Минстроя России совместно с АО "Гипробум", г. Санкт-Петербург и утвержден постановлением Минстроя России от 7 марта 1996 г. №18-19.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Справочник введен в дей</w:t>
      </w:r>
      <w:r>
        <w:rPr>
          <w:sz w:val="20"/>
        </w:rPr>
        <w:t>ствие с 1 марта 1996 г. взамен глав 5 и 6 раздела 26 "Лесная и деревообрабатывающая, целлюлозно-бумажная промышленность" Сборника цен на проектные работы для строительства издания 1987 года.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 Справочнике приведены цены на проектирование объектов целлюлозно-бумажной промышленности, охватывающие следующую номенклатуру: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1. Заводы по производству целлюлозы.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2. Заводы по производству полуфабрикатов.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3. Фабрики по производству бумаги.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4. Фабрики по производству картона.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5. Фабрики по переработке бумаги и картона</w:t>
      </w:r>
      <w:r>
        <w:rPr>
          <w:sz w:val="20"/>
        </w:rPr>
        <w:t xml:space="preserve"> в изделия.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6. Отдельные здания цехов и сооружения заводов по производству целлюлозы и полуцеллюлозы.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7. Отдельные здания цехов и сооружения заводов побочных продуктов.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8. Отдельные здания цехов и сооружения заводов белой древесной массы, термомеханической и химико-термомеханической массы из щепы.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9. Отдельные здания цехов и производств древесного сырья, целлюлозных, древесно-массных заводов и заводов термомеханической и химико-термомеханической массы из щепы.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10. Отдельные здания цехов и сооружения заводов</w:t>
      </w:r>
      <w:r>
        <w:rPr>
          <w:sz w:val="20"/>
        </w:rPr>
        <w:t xml:space="preserve"> макулатурной массы, хлопковой и тряпичной полумассы.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11. Отдельные здания цехов и сооружения бумажных и картонных фабрик.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12. Отдельные объекты фабрик переработки бумаги и картона в изделия.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13. Объекты вспомогательного и обслуживающего производственного назначения целлюлозных заводов, бумажных и картонных фабрик.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 xml:space="preserve">14. Объекты энергетического хозяйства целлюлозных заводов, бумажных и картонных </w:t>
      </w:r>
      <w:r>
        <w:rPr>
          <w:sz w:val="20"/>
        </w:rPr>
        <w:lastRenderedPageBreak/>
        <w:t>фабрик.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 xml:space="preserve">15. Объекты водоснабжения, канализации, теплофикации. 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Цены по позициям 1-5 перечисленной номенклатуры уста</w:t>
      </w:r>
      <w:r>
        <w:rPr>
          <w:sz w:val="20"/>
        </w:rPr>
        <w:t>новлены в зависимости от натуральных показателей объектов проектирования (т,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и т.д.), а по позициям 6-15 - от общей стоимости строительства в текущих ценах (млн. руб.).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Справочник состоит из: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1. Основных положений;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2. Порядка определения базовой цены проектных работ, в том числе:</w:t>
      </w:r>
    </w:p>
    <w:p w:rsidR="00000000" w:rsidRDefault="003A0A7B">
      <w:pPr>
        <w:ind w:firstLine="284"/>
        <w:rPr>
          <w:sz w:val="20"/>
        </w:rPr>
      </w:pPr>
      <w:r>
        <w:rPr>
          <w:i/>
          <w:sz w:val="20"/>
        </w:rPr>
        <w:t>А.</w:t>
      </w:r>
      <w:r>
        <w:rPr>
          <w:sz w:val="20"/>
        </w:rPr>
        <w:t xml:space="preserve"> В зависимости от натуральных показателей объектов проектирования. </w:t>
      </w:r>
    </w:p>
    <w:p w:rsidR="00000000" w:rsidRDefault="003A0A7B">
      <w:pPr>
        <w:ind w:firstLine="284"/>
        <w:rPr>
          <w:sz w:val="20"/>
        </w:rPr>
      </w:pPr>
      <w:r>
        <w:rPr>
          <w:i/>
          <w:sz w:val="20"/>
        </w:rPr>
        <w:t>Б.</w:t>
      </w:r>
      <w:r>
        <w:rPr>
          <w:sz w:val="20"/>
        </w:rPr>
        <w:t xml:space="preserve"> В зависимости от общей стоимости строительства.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1. РАЗЪЯСНЕНИЯ ПО ПУНКТАМ ОСНОВНЫХ ПОЛОЖЕНИЙ И ПОРЯДКА ОПРЕДЕЛЕНИЯ БАЗОВОЙ ЦЕНЫ ПО СПРАВОЧНИКУ</w:t>
      </w:r>
    </w:p>
    <w:p w:rsidR="00000000" w:rsidRDefault="003A0A7B">
      <w:pPr>
        <w:ind w:firstLine="284"/>
        <w:jc w:val="center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По пункту </w:t>
      </w:r>
      <w:r>
        <w:rPr>
          <w:i/>
          <w:sz w:val="20"/>
          <w:u w:val="single"/>
        </w:rPr>
        <w:t>1.6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Базовые цены на проектные работы, приведенные в Справочнике "Объекты целлюлозно-бумажной промышленности", установлены применительно к требованиям, содержащимся в Инструкции о порядке разработки, согласования, утверждения и составе проектной документации на строительство предприятий, зданий и сооружений (СНиП 11-01-95), СНиП по организации строительного производства (СНиП 3.01.01-85) и в других нормативных документах по проектированию по состоянию на 1 января 1996 года.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1.7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 базовую цену не</w:t>
      </w:r>
      <w:r>
        <w:rPr>
          <w:sz w:val="20"/>
        </w:rPr>
        <w:t xml:space="preserve"> входит стоимость выполнения следующих работ: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разработка дополнительных вариантов проекта (рабочего проекта) или отдельных технологических, конструктивных, архитектурных и других решений, устанавливаемых в задании на проектирование, где также должны быть определены разделы (или части этих разделов) проекта, по которым необходима разработка указанных вариантов.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Степень проработки дополнительных вариантов должна соответствовать глубине проработки основного варианта. Документация дополнительного варианта пер</w:t>
      </w:r>
      <w:r>
        <w:rPr>
          <w:sz w:val="20"/>
        </w:rPr>
        <w:t>едается заказчику в порядке, установленном для проекта. В процессе разработки как основного, так и дополнительного вариантов, выполняется вариантная проработка проектных решений;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разработка рабочих чертежей на специальные вспомогательные сооружения, приспособления, устройства и установки при проектировании объектов с особо сложными конструкциями и методами производства работ в соответствии с требованиями СНиП 3.01.01-85.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разработки рабочих чертежей указанных сооружений, приспособлений, устрой</w:t>
      </w:r>
      <w:r>
        <w:rPr>
          <w:sz w:val="20"/>
        </w:rPr>
        <w:t>ств и установок определяется в порядке, установленном строительными организациями, либо расчетом стоимости по трудовым затратам;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разработка решений по монументально-декоративному оформлению зданий и сооружений.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внесение изменений в проектную документацию, связанных с введением в действие новых нормативных документов, заменой оборудования более прогрессивным и др. (за исключением исправления ошибок, допущенных проектной организацией).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Выполнение указанных работ должно предусматриваться в задании на проек</w:t>
      </w:r>
      <w:r>
        <w:rPr>
          <w:sz w:val="20"/>
        </w:rPr>
        <w:t>тирование объекта или отдельным поручением заказчика и оплачиваться дополнительно;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разработка деталировочных чертежей металлических конструкций (КМД) и технологических трубопроводов заводского изготовления.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КМД разрабатывают заводы-изготовители. В случае поручения этих работ проектным организациям цены на разработку КМД устанавливаются заводами-изготовителями;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обследования и обмерные работы на объектах, подлежащих реконструкции, расширению или техническому перевооружению.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Определять стоимость таких рабо</w:t>
      </w:r>
      <w:r>
        <w:rPr>
          <w:sz w:val="20"/>
        </w:rPr>
        <w:t>т следует по соответствующим Справочникам, либо расчетом стоимости по трудовым затратам;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разработка конструкторской документации по оборудованию индивидуального изготовления, кроме составления исходных требований, необходимых для разработки технического задания на выполнение этой документации.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 xml:space="preserve">Справочником базовых цен учтены затраты на составление исходных требований для разработки конструкторской документации на оборудование индивидуального изготовления, </w:t>
      </w:r>
      <w:r>
        <w:rPr>
          <w:sz w:val="20"/>
        </w:rPr>
        <w:lastRenderedPageBreak/>
        <w:t>включая единичное и мелкосерийное. Техническое зад</w:t>
      </w:r>
      <w:r>
        <w:rPr>
          <w:sz w:val="20"/>
        </w:rPr>
        <w:t>ание на указанное оборудование разрабатывает завод-изготовитель.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 отдельных случаях, когда разработка указанной конструкторской документации поручается проектной организации, она осуществляется, как правило, по договорам с заводом-изготовителем оборудования. Если завод-изготовитель не определен, то разработка конструкторской документации на оборудование может выполняться проектной организацией по поручению заказчика. При этом цена выполнения указанных конструкторских работ определяется по соответствующим ц</w:t>
      </w:r>
      <w:r>
        <w:rPr>
          <w:sz w:val="20"/>
        </w:rPr>
        <w:t>еновым документам, утвержденным в установленном порядке;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демонстрационные макеты.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Базовыми ценами Справочника учтена, цена изготовления демонстрационных материалов, за исключением цены изготовления демонстрационных макетов, которая определяется дополнительно;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авторский надзор.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научно-исследовательские и опытно-экспериментальные работы.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затраты на служебные командировки.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Базовыми ценами Справочника не учтены затраты на служебные командировки, в том числе и затраты административного персонала, если ко</w:t>
      </w:r>
      <w:r>
        <w:rPr>
          <w:sz w:val="20"/>
        </w:rPr>
        <w:t>мандировки этого персонала связаны непосредственно с проектированием объекта;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маркетинговые услуги.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разработка проектов производства строительно-монтажных работ (ППР).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Цена ППР определяется по ведомственным Ценникам, а при их отсутствии - расчетом стоимости по трудовым затратам. Базовая цена этих работ заказчиком оплачивается дополнительно к базовой цене проектных работ, определенной по Справочнику.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Изложенное положение распространяется на все виды работ и способы строительства (новое строительство, рек</w:t>
      </w:r>
      <w:r>
        <w:rPr>
          <w:sz w:val="20"/>
        </w:rPr>
        <w:t>онструкция и техническое перевооружение, подрядный, хозяйственный или смешанный способ строительства);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разработка технологических процессов.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разработка проектной документации для строительства временных зданий и сооружений для нужд строительных организаций.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проектирования таких зданий и сооружений определяется по Ценникам на эти работы, разработанным строительными организациями, либо в порядке, ими установленном;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разработка автоматизированных систем управления предприятием (АСУП), автомат</w:t>
      </w:r>
      <w:r>
        <w:rPr>
          <w:sz w:val="20"/>
        </w:rPr>
        <w:t>изированных систем управления технологическими процессами (АСУ ТП).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проектирования перечисленных работ определяется по соответствующим ценовым документам, а при отсутствии - расчетом по трудовым затратам;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оценка воздействия хозяйственной деятельности проектируемых предприятий на окружающую среду (ОВОС).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Ценами Справочника учтены затраты, связанные с разработкой мероприятий по охране окружающей природной Среды в объеме требований СНиП 11-01-95.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Затраты проектных организаций, касающиеся предста</w:t>
      </w:r>
      <w:r>
        <w:rPr>
          <w:sz w:val="20"/>
        </w:rPr>
        <w:t>вления в экологическую экспертизу материалов по ОВОС, ценами не учтены.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При необходимости разработки материалов по ОВОС проектными организациями, затраты, не учтенные ценами, определяется дополнительно. Необходимость выполнения этих работ оговаривается в задании на проектирование.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Кроме того, базовыми ценами Справочника не учтены: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комплектование строек оборудованием.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 xml:space="preserve">В случаях, когда заказчик поручает проектной организации комплектование строек оборудованием, цена этих работ учитывается дополнительно при </w:t>
      </w:r>
      <w:r>
        <w:rPr>
          <w:sz w:val="20"/>
        </w:rPr>
        <w:t>установлении договорной цены на проектную продукцию в размере 5% стоимости оборудования;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затраты проектных организаций, касающиеся представления проектной документации в экспертирующие органы.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• подготовка исходных данных, представляемых заказчиком в соответствии с заданием на проектирование.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2.1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разработки проектной документации (проект + рабочая документация) определяется следующим образом: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Ц = ( а + bх )</w:t>
      </w:r>
      <w:r>
        <w:rPr>
          <w:b/>
          <w:sz w:val="20"/>
        </w:rPr>
        <w:t xml:space="preserve"> х</w:t>
      </w:r>
      <w:r>
        <w:rPr>
          <w:b/>
          <w:i/>
          <w:sz w:val="20"/>
        </w:rPr>
        <w:t xml:space="preserve"> К</w:t>
      </w:r>
      <w:r>
        <w:rPr>
          <w:b/>
          <w:i/>
          <w:sz w:val="20"/>
          <w:vertAlign w:val="subscript"/>
        </w:rPr>
        <w:t>i</w:t>
      </w:r>
      <w:r>
        <w:rPr>
          <w:b/>
          <w:sz w:val="20"/>
          <w:vertAlign w:val="subscript"/>
        </w:rPr>
        <w:t xml:space="preserve"> </w:t>
      </w:r>
      <w:r>
        <w:rPr>
          <w:b/>
          <w:sz w:val="20"/>
        </w:rPr>
        <w:t xml:space="preserve">,   </w:t>
      </w:r>
      <w:r>
        <w:rPr>
          <w:sz w:val="20"/>
        </w:rPr>
        <w:t>где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b/>
          <w:i/>
          <w:sz w:val="20"/>
        </w:rPr>
        <w:t>Ц</w:t>
      </w:r>
      <w:r>
        <w:rPr>
          <w:i/>
          <w:sz w:val="20"/>
        </w:rPr>
        <w:t xml:space="preserve"> -</w:t>
      </w:r>
      <w:r>
        <w:rPr>
          <w:sz w:val="20"/>
        </w:rPr>
        <w:t xml:space="preserve"> базовая цена проектных работ в млн. руб.;</w:t>
      </w:r>
    </w:p>
    <w:p w:rsidR="00000000" w:rsidRDefault="003A0A7B">
      <w:pPr>
        <w:ind w:firstLine="284"/>
        <w:rPr>
          <w:sz w:val="20"/>
        </w:rPr>
      </w:pPr>
      <w:r>
        <w:rPr>
          <w:b/>
          <w:i/>
          <w:sz w:val="20"/>
        </w:rPr>
        <w:t>а, b</w:t>
      </w:r>
      <w:r>
        <w:rPr>
          <w:i/>
          <w:sz w:val="20"/>
        </w:rPr>
        <w:t xml:space="preserve"> -</w:t>
      </w:r>
      <w:r>
        <w:rPr>
          <w:sz w:val="20"/>
        </w:rPr>
        <w:t xml:space="preserve"> постоя</w:t>
      </w:r>
      <w:r>
        <w:rPr>
          <w:sz w:val="20"/>
        </w:rPr>
        <w:t>нные величины для определенного интервала основного показателя проектируемого объекта в млн. руб.;</w:t>
      </w:r>
    </w:p>
    <w:p w:rsidR="00000000" w:rsidRDefault="003A0A7B">
      <w:pPr>
        <w:ind w:firstLine="284"/>
        <w:rPr>
          <w:sz w:val="20"/>
        </w:rPr>
      </w:pPr>
      <w:r>
        <w:rPr>
          <w:b/>
          <w:i/>
          <w:sz w:val="20"/>
        </w:rPr>
        <w:t>х</w:t>
      </w:r>
      <w:r>
        <w:rPr>
          <w:i/>
          <w:sz w:val="20"/>
        </w:rPr>
        <w:t xml:space="preserve"> -</w:t>
      </w:r>
      <w:r>
        <w:rPr>
          <w:sz w:val="20"/>
        </w:rPr>
        <w:t xml:space="preserve"> основной показатель проектируемого объекта (мощность, производительность);</w:t>
      </w:r>
    </w:p>
    <w:p w:rsidR="00000000" w:rsidRDefault="003A0A7B">
      <w:pPr>
        <w:ind w:firstLine="284"/>
        <w:rPr>
          <w:sz w:val="20"/>
        </w:rPr>
      </w:pPr>
      <w:r>
        <w:rPr>
          <w:b/>
          <w:i/>
          <w:sz w:val="20"/>
        </w:rPr>
        <w:t>К</w:t>
      </w:r>
      <w:r>
        <w:rPr>
          <w:b/>
          <w:i/>
          <w:sz w:val="20"/>
          <w:vertAlign w:val="subscript"/>
        </w:rPr>
        <w:t>i</w:t>
      </w:r>
      <w:r>
        <w:rPr>
          <w:sz w:val="20"/>
        </w:rPr>
        <w:t xml:space="preserve"> - повышающий коэффициент, отражающий инфляционные процессы на момент определения цены.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2.3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 случае, когда показатель мощности объекта меньше табличного показателя, приведенного в Справочнике, базовая цена его проектирования определяется по формуле: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Ц</w:t>
      </w:r>
      <w:r>
        <w:rPr>
          <w:b/>
          <w:sz w:val="20"/>
        </w:rPr>
        <w:t xml:space="preserve"> = </w:t>
      </w:r>
      <w:r>
        <w:rPr>
          <w:b/>
          <w:i/>
          <w:sz w:val="20"/>
        </w:rPr>
        <w:t>а</w:t>
      </w:r>
      <w:r>
        <w:rPr>
          <w:b/>
          <w:sz w:val="20"/>
        </w:rPr>
        <w:t xml:space="preserve"> + </w:t>
      </w:r>
      <w:r>
        <w:rPr>
          <w:b/>
          <w:i/>
          <w:sz w:val="20"/>
        </w:rPr>
        <w:t xml:space="preserve">b </w:t>
      </w:r>
      <w:r>
        <w:rPr>
          <w:b/>
          <w:sz w:val="20"/>
        </w:rPr>
        <w:t>х</w:t>
      </w:r>
      <w:r>
        <w:rPr>
          <w:b/>
          <w:i/>
          <w:sz w:val="20"/>
        </w:rPr>
        <w:t xml:space="preserve"> (0,4 </w:t>
      </w:r>
      <w:r>
        <w:rPr>
          <w:b/>
          <w:sz w:val="20"/>
        </w:rPr>
        <w:t>х</w:t>
      </w:r>
      <w:r>
        <w:rPr>
          <w:b/>
          <w:i/>
          <w:sz w:val="20"/>
        </w:rPr>
        <w:t xml:space="preserve"> Х</w:t>
      </w:r>
      <w:r>
        <w:rPr>
          <w:b/>
          <w:i/>
          <w:sz w:val="20"/>
          <w:vertAlign w:val="subscript"/>
        </w:rPr>
        <w:t>min</w:t>
      </w:r>
      <w:r>
        <w:rPr>
          <w:b/>
          <w:i/>
          <w:sz w:val="20"/>
        </w:rPr>
        <w:t xml:space="preserve"> +0,6 </w:t>
      </w:r>
      <w:r>
        <w:rPr>
          <w:b/>
          <w:sz w:val="20"/>
        </w:rPr>
        <w:t>х</w:t>
      </w:r>
      <w:r>
        <w:rPr>
          <w:b/>
          <w:i/>
          <w:sz w:val="20"/>
        </w:rPr>
        <w:t xml:space="preserve"> Х</w:t>
      </w:r>
      <w:r>
        <w:rPr>
          <w:b/>
          <w:i/>
          <w:sz w:val="20"/>
          <w:vertAlign w:val="subscript"/>
        </w:rPr>
        <w:t>зад</w:t>
      </w:r>
      <w:r>
        <w:rPr>
          <w:b/>
          <w:i/>
          <w:sz w:val="20"/>
        </w:rPr>
        <w:t>)</w:t>
      </w:r>
      <w:r>
        <w:rPr>
          <w:b/>
          <w:i/>
          <w:sz w:val="20"/>
          <w:vertAlign w:val="subscript"/>
        </w:rPr>
        <w:t xml:space="preserve"> </w:t>
      </w:r>
      <w:r>
        <w:rPr>
          <w:b/>
          <w:i/>
          <w:sz w:val="20"/>
        </w:rPr>
        <w:t xml:space="preserve">,     </w:t>
      </w:r>
      <w:r>
        <w:rPr>
          <w:sz w:val="20"/>
        </w:rPr>
        <w:t xml:space="preserve"> где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b/>
          <w:i/>
          <w:sz w:val="20"/>
        </w:rPr>
        <w:t>а</w:t>
      </w:r>
      <w:r>
        <w:rPr>
          <w:i/>
          <w:sz w:val="20"/>
        </w:rPr>
        <w:t xml:space="preserve"> и </w:t>
      </w:r>
      <w:r>
        <w:rPr>
          <w:b/>
          <w:i/>
          <w:sz w:val="20"/>
        </w:rPr>
        <w:t>b</w:t>
      </w:r>
      <w:r>
        <w:rPr>
          <w:i/>
          <w:sz w:val="20"/>
        </w:rPr>
        <w:t xml:space="preserve"> -</w:t>
      </w:r>
      <w:r>
        <w:rPr>
          <w:sz w:val="20"/>
        </w:rPr>
        <w:t xml:space="preserve"> постоянные </w:t>
      </w:r>
      <w:r>
        <w:rPr>
          <w:sz w:val="20"/>
        </w:rPr>
        <w:t>величины, принимаемые по таблице минимального значения показателя;</w:t>
      </w:r>
    </w:p>
    <w:p w:rsidR="00000000" w:rsidRDefault="003A0A7B">
      <w:pPr>
        <w:ind w:firstLine="284"/>
        <w:rPr>
          <w:sz w:val="20"/>
        </w:rPr>
      </w:pPr>
      <w:r>
        <w:rPr>
          <w:b/>
          <w:i/>
          <w:smallCaps/>
          <w:sz w:val="20"/>
        </w:rPr>
        <w:t>х</w:t>
      </w:r>
      <w:r>
        <w:rPr>
          <w:b/>
          <w:i/>
          <w:smallCaps/>
          <w:sz w:val="20"/>
          <w:vertAlign w:val="subscript"/>
          <w:lang w:val="en-US"/>
        </w:rPr>
        <w:t>min</w:t>
      </w:r>
      <w:r>
        <w:rPr>
          <w:b/>
          <w:i/>
          <w:smallCaps/>
          <w:sz w:val="20"/>
          <w:lang w:val="en-US"/>
        </w:rPr>
        <w:t xml:space="preserve"> -</w:t>
      </w:r>
      <w:r>
        <w:rPr>
          <w:sz w:val="20"/>
        </w:rPr>
        <w:t xml:space="preserve"> минимальный показатель, приведенный в таблице;</w:t>
      </w:r>
    </w:p>
    <w:p w:rsidR="00000000" w:rsidRDefault="003A0A7B">
      <w:pPr>
        <w:ind w:firstLine="284"/>
        <w:rPr>
          <w:sz w:val="20"/>
          <w:lang w:val="en-US"/>
        </w:rPr>
      </w:pPr>
      <w:r>
        <w:rPr>
          <w:b/>
          <w:i/>
          <w:sz w:val="20"/>
        </w:rPr>
        <w:t>Х</w:t>
      </w:r>
      <w:r>
        <w:rPr>
          <w:b/>
          <w:i/>
          <w:sz w:val="20"/>
          <w:vertAlign w:val="subscript"/>
        </w:rPr>
        <w:t>зад</w:t>
      </w:r>
      <w:r>
        <w:rPr>
          <w:b/>
          <w:i/>
          <w:sz w:val="20"/>
          <w:vertAlign w:val="subscript"/>
          <w:lang w:val="en-US"/>
        </w:rPr>
        <w:t xml:space="preserve"> </w:t>
      </w:r>
      <w:r>
        <w:rPr>
          <w:i/>
          <w:sz w:val="20"/>
        </w:rPr>
        <w:t>-</w:t>
      </w:r>
      <w:r>
        <w:rPr>
          <w:sz w:val="20"/>
        </w:rPr>
        <w:t xml:space="preserve"> заданный показатель проектируемого объекта.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  <w:lang w:val="en-US"/>
        </w:rPr>
      </w:pPr>
      <w:r>
        <w:rPr>
          <w:sz w:val="20"/>
        </w:rPr>
        <w:t>В случае, когда показатель мощности объекта больше табличного показателя, приведенного в Справочнике, базовая цена его проектирования определяется по формуле: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sz w:val="20"/>
          <w:lang w:val="en-US"/>
        </w:rPr>
      </w:pPr>
      <w:r>
        <w:rPr>
          <w:b/>
          <w:i/>
          <w:sz w:val="20"/>
        </w:rPr>
        <w:t>Ц</w:t>
      </w:r>
      <w:r>
        <w:rPr>
          <w:b/>
          <w:sz w:val="20"/>
        </w:rPr>
        <w:t xml:space="preserve"> = </w:t>
      </w:r>
      <w:r>
        <w:rPr>
          <w:b/>
          <w:i/>
          <w:sz w:val="20"/>
        </w:rPr>
        <w:t>а</w:t>
      </w:r>
      <w:r>
        <w:rPr>
          <w:b/>
          <w:sz w:val="20"/>
        </w:rPr>
        <w:t xml:space="preserve"> + </w:t>
      </w:r>
      <w:r>
        <w:rPr>
          <w:b/>
          <w:i/>
          <w:sz w:val="20"/>
        </w:rPr>
        <w:t xml:space="preserve">b </w:t>
      </w:r>
      <w:r>
        <w:rPr>
          <w:b/>
          <w:sz w:val="20"/>
        </w:rPr>
        <w:t>х</w:t>
      </w:r>
      <w:r>
        <w:rPr>
          <w:b/>
          <w:i/>
          <w:sz w:val="20"/>
        </w:rPr>
        <w:t xml:space="preserve"> (0,4 </w:t>
      </w:r>
      <w:r>
        <w:rPr>
          <w:b/>
          <w:sz w:val="20"/>
        </w:rPr>
        <w:t>х</w:t>
      </w:r>
      <w:r>
        <w:rPr>
          <w:b/>
          <w:i/>
          <w:sz w:val="20"/>
        </w:rPr>
        <w:t xml:space="preserve"> Х</w:t>
      </w:r>
      <w:r>
        <w:rPr>
          <w:b/>
          <w:i/>
          <w:sz w:val="20"/>
          <w:vertAlign w:val="subscript"/>
        </w:rPr>
        <w:t>max</w:t>
      </w:r>
      <w:r>
        <w:rPr>
          <w:b/>
          <w:sz w:val="20"/>
        </w:rPr>
        <w:t xml:space="preserve"> + </w:t>
      </w:r>
      <w:r>
        <w:rPr>
          <w:b/>
          <w:i/>
          <w:sz w:val="20"/>
        </w:rPr>
        <w:t>0,6</w:t>
      </w:r>
      <w:r>
        <w:rPr>
          <w:b/>
          <w:sz w:val="20"/>
        </w:rPr>
        <w:t xml:space="preserve"> х</w:t>
      </w:r>
      <w:r>
        <w:rPr>
          <w:b/>
          <w:i/>
          <w:sz w:val="20"/>
          <w:lang w:val="en-US"/>
        </w:rPr>
        <w:t xml:space="preserve"> </w:t>
      </w:r>
      <w:r>
        <w:rPr>
          <w:b/>
          <w:i/>
          <w:sz w:val="20"/>
        </w:rPr>
        <w:t>Х</w:t>
      </w:r>
      <w:r>
        <w:rPr>
          <w:b/>
          <w:i/>
          <w:sz w:val="20"/>
          <w:vertAlign w:val="subscript"/>
        </w:rPr>
        <w:t>зад</w:t>
      </w:r>
      <w:r>
        <w:rPr>
          <w:b/>
          <w:i/>
          <w:sz w:val="20"/>
        </w:rPr>
        <w:t>),</w:t>
      </w:r>
      <w:r>
        <w:rPr>
          <w:b/>
          <w:sz w:val="20"/>
        </w:rPr>
        <w:t xml:space="preserve"> </w:t>
      </w:r>
      <w:r>
        <w:rPr>
          <w:b/>
          <w:sz w:val="20"/>
          <w:lang w:val="en-US"/>
        </w:rPr>
        <w:t xml:space="preserve">     </w:t>
      </w:r>
      <w:r>
        <w:rPr>
          <w:sz w:val="20"/>
        </w:rPr>
        <w:t>где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b/>
          <w:i/>
          <w:sz w:val="20"/>
        </w:rPr>
        <w:t>а</w:t>
      </w:r>
      <w:r>
        <w:rPr>
          <w:sz w:val="20"/>
        </w:rPr>
        <w:t xml:space="preserve"> и </w:t>
      </w:r>
      <w:r>
        <w:rPr>
          <w:b/>
          <w:i/>
          <w:sz w:val="20"/>
        </w:rPr>
        <w:t>b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-</w:t>
      </w:r>
      <w:r>
        <w:rPr>
          <w:sz w:val="20"/>
        </w:rPr>
        <w:t xml:space="preserve"> постоянные величины, принимаемые по таблице максимального значения показателя;</w:t>
      </w:r>
    </w:p>
    <w:p w:rsidR="00000000" w:rsidRDefault="003A0A7B">
      <w:pPr>
        <w:ind w:firstLine="284"/>
        <w:rPr>
          <w:sz w:val="20"/>
        </w:rPr>
      </w:pPr>
      <w:r>
        <w:rPr>
          <w:b/>
          <w:i/>
          <w:sz w:val="20"/>
        </w:rPr>
        <w:t>Х</w:t>
      </w:r>
      <w:r>
        <w:rPr>
          <w:b/>
          <w:i/>
          <w:sz w:val="20"/>
          <w:vertAlign w:val="subscript"/>
        </w:rPr>
        <w:t>max</w:t>
      </w:r>
      <w:r>
        <w:rPr>
          <w:b/>
          <w:i/>
          <w:sz w:val="20"/>
          <w:vertAlign w:val="subscript"/>
          <w:lang w:val="en-US"/>
        </w:rPr>
        <w:t xml:space="preserve">  </w:t>
      </w:r>
      <w:r>
        <w:rPr>
          <w:sz w:val="20"/>
        </w:rPr>
        <w:t>- максимальный показатель, приведенны</w:t>
      </w:r>
      <w:r>
        <w:rPr>
          <w:sz w:val="20"/>
        </w:rPr>
        <w:t>й в таблице;</w:t>
      </w:r>
    </w:p>
    <w:p w:rsidR="00000000" w:rsidRDefault="003A0A7B">
      <w:pPr>
        <w:ind w:firstLine="284"/>
        <w:rPr>
          <w:sz w:val="20"/>
          <w:lang w:val="en-US"/>
        </w:rPr>
      </w:pPr>
      <w:r>
        <w:rPr>
          <w:b/>
          <w:i/>
          <w:sz w:val="20"/>
        </w:rPr>
        <w:t>Х</w:t>
      </w:r>
      <w:r>
        <w:rPr>
          <w:b/>
          <w:i/>
          <w:sz w:val="20"/>
          <w:vertAlign w:val="subscript"/>
        </w:rPr>
        <w:t>зад</w:t>
      </w:r>
      <w:r>
        <w:rPr>
          <w:sz w:val="20"/>
        </w:rPr>
        <w:t xml:space="preserve"> - заданный показатель проектируемого объекта.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  <w:lang w:val="en-US"/>
        </w:rPr>
      </w:pPr>
      <w:r>
        <w:rPr>
          <w:i/>
          <w:sz w:val="20"/>
          <w:u w:val="single"/>
        </w:rPr>
        <w:t>По пунктам 2.7 и 2.8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разработки проектной документации (проект + рабочая документация) определяется в процентах от общей стоимости строительства. При этом в общую стоимость строительства включается стоимость всех зданий, сооружений и видов работ, то есть стоимость строительства по главам 1-12 Сводного сметного расчета стоимости строительства.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Таким образом, в базовую цену включается стоимость проектирования всего комплекса зданий</w:t>
      </w:r>
      <w:r>
        <w:rPr>
          <w:sz w:val="20"/>
        </w:rPr>
        <w:t>, сооружений и видов проектных работ, нашедших отражение в общей стоимости строительства, за исключением стоимости проектных работ, перечисленных в п.1.7; при этом стоимость строительства, приходящаяся на эти работы (п.1.7), не исключается из общей стоимости строительства.</w:t>
      </w:r>
    </w:p>
    <w:p w:rsidR="00000000" w:rsidRDefault="003A0A7B">
      <w:pPr>
        <w:ind w:firstLine="284"/>
        <w:rPr>
          <w:sz w:val="20"/>
          <w:lang w:val="en-US"/>
        </w:rPr>
      </w:pPr>
      <w:r>
        <w:rPr>
          <w:sz w:val="20"/>
        </w:rPr>
        <w:t>Базовая цена на разработку проектной документации на строительство объекта в сложных условиях (сейсмичность, вечномерзлые, просадочные, набухающие, пучинистые, элювиальные, илистые, заторфованные грунты; карстовые и оползневые явления; ра</w:t>
      </w:r>
      <w:r>
        <w:rPr>
          <w:sz w:val="20"/>
        </w:rPr>
        <w:t>сположение площадки в подтапливаемых районах; с учетом ураганов, цунами, ударной волны, падения самолета и др.) определяется по ценам Справочника без применения каких-либо повышающих коэффициентов. Увеличение трудоемкости проектных работ на строительство в сложных условиях компенсируется увеличением общей стоимости строительства.</w:t>
      </w:r>
    </w:p>
    <w:p w:rsidR="00000000" w:rsidRDefault="003A0A7B">
      <w:pPr>
        <w:ind w:firstLine="284"/>
        <w:rPr>
          <w:sz w:val="20"/>
          <w:lang w:val="en-US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  <w:lang w:val="en-US"/>
        </w:rPr>
      </w:pPr>
      <w:r>
        <w:rPr>
          <w:i/>
          <w:sz w:val="20"/>
          <w:u w:val="single"/>
        </w:rPr>
        <w:t>По пункту 2.10</w:t>
      </w:r>
    </w:p>
    <w:p w:rsidR="00000000" w:rsidRDefault="003A0A7B">
      <w:pPr>
        <w:ind w:firstLine="284"/>
        <w:rPr>
          <w:i/>
          <w:sz w:val="20"/>
          <w:u w:val="single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проектных работ определяется по формуле: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Ц</w:t>
      </w:r>
      <w:r>
        <w:rPr>
          <w:b/>
          <w:i/>
          <w:sz w:val="20"/>
          <w:vertAlign w:val="subscript"/>
        </w:rPr>
        <w:t>пр</w:t>
      </w:r>
      <w:r>
        <w:rPr>
          <w:b/>
          <w:i/>
          <w:sz w:val="20"/>
        </w:rPr>
        <w:t xml:space="preserve"> = (С</w:t>
      </w:r>
      <w:r>
        <w:rPr>
          <w:b/>
          <w:i/>
          <w:sz w:val="20"/>
          <w:vertAlign w:val="subscript"/>
        </w:rPr>
        <w:t>стр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х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</w:rPr>
        <w:sym w:font="Symbol" w:char="F061"/>
      </w:r>
      <w:r>
        <w:rPr>
          <w:b/>
          <w:i/>
          <w:sz w:val="20"/>
        </w:rPr>
        <w:t>) /100,</w:t>
      </w:r>
      <w:r>
        <w:rPr>
          <w:i/>
          <w:sz w:val="20"/>
        </w:rPr>
        <w:t xml:space="preserve">    </w:t>
      </w:r>
      <w:r>
        <w:rPr>
          <w:sz w:val="20"/>
        </w:rPr>
        <w:t>где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b/>
          <w:i/>
          <w:sz w:val="20"/>
        </w:rPr>
        <w:t>Ц</w:t>
      </w:r>
      <w:r>
        <w:rPr>
          <w:b/>
          <w:i/>
          <w:sz w:val="20"/>
          <w:vertAlign w:val="subscript"/>
        </w:rPr>
        <w:t>пр</w:t>
      </w:r>
      <w:r>
        <w:rPr>
          <w:sz w:val="20"/>
        </w:rPr>
        <w:t xml:space="preserve"> - базовая цена проектные работ в текущих ценах, млн. руб.;</w:t>
      </w:r>
    </w:p>
    <w:p w:rsidR="00000000" w:rsidRDefault="003A0A7B">
      <w:pPr>
        <w:ind w:firstLine="284"/>
        <w:rPr>
          <w:sz w:val="20"/>
        </w:rPr>
      </w:pPr>
      <w:r>
        <w:rPr>
          <w:b/>
          <w:i/>
          <w:sz w:val="20"/>
        </w:rPr>
        <w:t>С</w:t>
      </w:r>
      <w:r>
        <w:rPr>
          <w:b/>
          <w:i/>
          <w:sz w:val="20"/>
          <w:vertAlign w:val="subscript"/>
        </w:rPr>
        <w:t>стр</w:t>
      </w:r>
      <w:r>
        <w:rPr>
          <w:i/>
          <w:sz w:val="20"/>
        </w:rPr>
        <w:t xml:space="preserve"> -</w:t>
      </w:r>
      <w:r>
        <w:rPr>
          <w:sz w:val="20"/>
        </w:rPr>
        <w:t xml:space="preserve"> стоимос</w:t>
      </w:r>
      <w:r>
        <w:rPr>
          <w:sz w:val="20"/>
        </w:rPr>
        <w:t>ть строительства в текущих ценах, млн. руб.;</w:t>
      </w:r>
    </w:p>
    <w:p w:rsidR="00000000" w:rsidRDefault="003A0A7B">
      <w:pPr>
        <w:ind w:firstLine="284"/>
        <w:rPr>
          <w:sz w:val="20"/>
        </w:rPr>
      </w:pPr>
      <w:r>
        <w:rPr>
          <w:b/>
          <w:i/>
          <w:sz w:val="20"/>
        </w:rPr>
        <w:sym w:font="Symbol" w:char="F061"/>
      </w:r>
      <w:r>
        <w:rPr>
          <w:b/>
          <w:i/>
          <w:sz w:val="20"/>
        </w:rPr>
        <w:t xml:space="preserve"> </w:t>
      </w:r>
      <w:r>
        <w:rPr>
          <w:sz w:val="20"/>
        </w:rPr>
        <w:t>- процент базовой цены от общей стоимости строительства в ценах 1991 г.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Таким образом, базовая цена проектных работ определяется следующим образом: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1. Общая стоимость строительства определяется в ценах 1991 г. и в текущих ценах;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 xml:space="preserve">2. По таблице 2 в зависимости от категории сложности проектируемого объекта и стоимости строительства в ценах 1991 г. определяется </w:t>
      </w:r>
      <w:r>
        <w:rPr>
          <w:sz w:val="22"/>
        </w:rPr>
        <w:sym w:font="Symbol" w:char="F0B5"/>
      </w:r>
      <w:r>
        <w:rPr>
          <w:sz w:val="22"/>
        </w:rPr>
        <w:t xml:space="preserve"> </w:t>
      </w:r>
      <w:r>
        <w:rPr>
          <w:i/>
          <w:sz w:val="20"/>
        </w:rPr>
        <w:t>—</w:t>
      </w:r>
      <w:r>
        <w:rPr>
          <w:sz w:val="20"/>
        </w:rPr>
        <w:t xml:space="preserve"> процент базовой цены;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 xml:space="preserve">3. Стоимость строительства в текущих ценах умножается на ее - процент базовой </w:t>
      </w:r>
      <w:r>
        <w:rPr>
          <w:sz w:val="20"/>
        </w:rPr>
        <w:t>цены.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К определенной таким образом базовой цене применяются поправочные коэффициенты согласно условиям проектирования ("привязка", реконструкция, техническое перевооружение и т.д.).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 случаях, когда проектируемый объект имеет величину стоимости строительства, находящуюся между показателями, приведенными в таблице, то базовая цена (процент) разработки проектной документации определяется путем интерполяции.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2.13</w:t>
      </w:r>
    </w:p>
    <w:p w:rsidR="00000000" w:rsidRDefault="003A0A7B">
      <w:pPr>
        <w:ind w:firstLine="284"/>
        <w:rPr>
          <w:i/>
          <w:sz w:val="20"/>
          <w:u w:val="single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Общая базовая цена, определенная согласно пп. 2.1 и 2.10, распределяется на проект и р</w:t>
      </w:r>
      <w:r>
        <w:rPr>
          <w:sz w:val="20"/>
        </w:rPr>
        <w:t>абочую документацию в соответствии с таблицей 4.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рабочего проекта определяется с коэффициентом 0,85 от общей базовой цены.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2.15</w:t>
      </w:r>
    </w:p>
    <w:p w:rsidR="00000000" w:rsidRDefault="003A0A7B">
      <w:pPr>
        <w:ind w:firstLine="284"/>
        <w:rPr>
          <w:i/>
          <w:sz w:val="20"/>
          <w:u w:val="single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разработки проектной документации на реконструкцию и техническое перевооружение зданий и сооружений определяется по ценам Справочника в соответствии с пунктом 2.1 и пунктом 2.10 (исходя из стоимости реконструкции или технического перевооружения) с применением к базовой цене коэффициента до 1,5, устанавливаемого проектной организацией по согласо</w:t>
      </w:r>
      <w:r>
        <w:rPr>
          <w:sz w:val="20"/>
        </w:rPr>
        <w:t>ванию с заказчиком в соответствии с трудоемкостью проектных работ.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Размер коэффициента должен быть не менее 1,0 и не более 1,5. Максимальный коэффициент может быть применен при полной реконструкции или полном техническом перевооружении объекта. При определении базовой цены в соответствии с п.2.1 и реконструкции (техническом перевооружении) только части здания, сооружения или выполнении отдельных видов работ применяется поправочный коэффициент меньше единицы, учитывающий объем работ по сравнению с новым стро</w:t>
      </w:r>
      <w:r>
        <w:rPr>
          <w:sz w:val="20"/>
        </w:rPr>
        <w:t>ительством.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b/>
          <w:i/>
          <w:sz w:val="20"/>
          <w:lang w:val="en-US"/>
        </w:rPr>
      </w:pPr>
      <w:r>
        <w:rPr>
          <w:b/>
          <w:i/>
          <w:sz w:val="20"/>
        </w:rPr>
        <w:t xml:space="preserve">2. РАЗЪЯСНЕНИЯ ПОРЯДКА ОПРЕДЕЛЕНИЯ БАЗОВОЙ ЦЕНЫ </w:t>
      </w:r>
    </w:p>
    <w:p w:rsidR="00000000" w:rsidRDefault="003A0A7B">
      <w:pPr>
        <w:ind w:firstLine="284"/>
        <w:jc w:val="center"/>
        <w:rPr>
          <w:b/>
          <w:i/>
          <w:sz w:val="20"/>
          <w:lang w:val="en-US"/>
        </w:rPr>
      </w:pPr>
      <w:r>
        <w:rPr>
          <w:b/>
          <w:i/>
          <w:sz w:val="20"/>
        </w:rPr>
        <w:t xml:space="preserve">РАЗРАБОТКИ ОТДЕЛЬНЫХ ВИДОВ ПРОЕКТНЫХ И НЕПРОЕКТНЫХ РАБОТ, </w:t>
      </w:r>
    </w:p>
    <w:p w:rsidR="00000000" w:rsidRDefault="003A0A7B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НЕ НАШЕДШИХ ОТРАЖЕНИЯ В СПРАВОЧНИКЕ БАЗОВЫХ ЦЕН</w:t>
      </w:r>
    </w:p>
    <w:p w:rsidR="00000000" w:rsidRDefault="003A0A7B">
      <w:pPr>
        <w:ind w:firstLine="284"/>
        <w:jc w:val="center"/>
        <w:rPr>
          <w:i/>
          <w:sz w:val="20"/>
          <w:u w:val="single"/>
          <w:lang w:val="en-US"/>
        </w:rPr>
      </w:pPr>
    </w:p>
    <w:p w:rsidR="00000000" w:rsidRDefault="003A0A7B">
      <w:pPr>
        <w:ind w:firstLine="284"/>
        <w:jc w:val="center"/>
        <w:rPr>
          <w:sz w:val="20"/>
        </w:rPr>
      </w:pPr>
      <w:r>
        <w:rPr>
          <w:i/>
          <w:sz w:val="20"/>
          <w:u w:val="single"/>
        </w:rPr>
        <w:t>2.1. Согласование проектной документации</w:t>
      </w:r>
    </w:p>
    <w:p w:rsidR="00000000" w:rsidRDefault="003A0A7B">
      <w:pPr>
        <w:ind w:firstLine="284"/>
        <w:rPr>
          <w:sz w:val="20"/>
          <w:lang w:val="en-US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Затраты проектных организаций, связанные с проведением согласования документации по требованию органов местного самоуправления, надзора и контроля, а также заинтересованными организациями, не учтены ценами Справочника и определяются дополнительно в установленном порядке.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Затраты, связанные с оплатой</w:t>
      </w:r>
      <w:r>
        <w:rPr>
          <w:sz w:val="20"/>
        </w:rPr>
        <w:t xml:space="preserve"> работ (услуг), выполняемых органами местного самоуправления (администрациями), Государственного надзора (контроля) и заинтересованными организациями, выдающими заказчику и проектной организации исходные данные, технические условия и требования на присоединение объекта к инженерным сетям и коммуникациям общего пользования, а также проводящими согласования проектных решений, предусмотренных в СН 11-101-95 и СНиП 11-01-95, как правило, дополнительной оплате не подлежат.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Если эти организации находятся на полно</w:t>
      </w:r>
      <w:r>
        <w:rPr>
          <w:sz w:val="20"/>
        </w:rPr>
        <w:t>м хозяйственном расчете, оплата указанных работ (услуг) производится заказчиком по договорным, технически обоснованным ценам.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2.2. Выполнение функций генпроектировщика </w:t>
      </w:r>
    </w:p>
    <w:p w:rsidR="00000000" w:rsidRDefault="003A0A7B">
      <w:pPr>
        <w:ind w:firstLine="284"/>
        <w:jc w:val="center"/>
        <w:rPr>
          <w:sz w:val="20"/>
        </w:rPr>
      </w:pPr>
      <w:r>
        <w:rPr>
          <w:i/>
          <w:sz w:val="20"/>
          <w:u w:val="single"/>
        </w:rPr>
        <w:t>и курирование проектных работ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Возмещение затрат проектных организаций, связанных с осуществлениями ими функций генпроектировщика, в том числе курирование проектных работ, выполняемых субподрядными организациями, может осуществляться проектной организацией по согласованию с заказчиком в размере до 5% субподрядных работ и учитываться при фор</w:t>
      </w:r>
      <w:r>
        <w:rPr>
          <w:sz w:val="20"/>
        </w:rPr>
        <w:t>мировании договорной цены.</w:t>
      </w:r>
    </w:p>
    <w:p w:rsidR="00000000" w:rsidRDefault="003A0A7B">
      <w:pPr>
        <w:ind w:firstLine="284"/>
        <w:rPr>
          <w:i/>
          <w:sz w:val="20"/>
          <w:u w:val="single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2.3. Затраты проектных организаций, </w:t>
      </w:r>
    </w:p>
    <w:p w:rsidR="00000000" w:rsidRDefault="003A0A7B">
      <w:pPr>
        <w:ind w:firstLine="284"/>
        <w:jc w:val="center"/>
        <w:rPr>
          <w:sz w:val="20"/>
        </w:rPr>
      </w:pPr>
      <w:r>
        <w:rPr>
          <w:i/>
          <w:sz w:val="20"/>
          <w:u w:val="single"/>
        </w:rPr>
        <w:t>связанные со сбором исходных данных для проектирования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 xml:space="preserve">Исходные данные для проектирования в соответствии с перечнем, приведенным в Приложении </w:t>
      </w:r>
      <w:r>
        <w:rPr>
          <w:i/>
          <w:sz w:val="20"/>
        </w:rPr>
        <w:t>А</w:t>
      </w:r>
      <w:r>
        <w:rPr>
          <w:sz w:val="20"/>
        </w:rPr>
        <w:t xml:space="preserve"> СНиП 11-01-95, представляет заказчик проекта (рабочего проекта).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 случае, когда заказчик поручает проектной организации сбор исходных данных для проектирования, приведенных в указанном Приложении, цену этой работы следует учитывать при установлении договорной цены на проектную документацию дополнител</w:t>
      </w:r>
      <w:r>
        <w:rPr>
          <w:sz w:val="20"/>
        </w:rPr>
        <w:t>ьно к базовой цене, определенной по Справочнику.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2.4. Выполнение проектных работ в сокращенном объеме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проектных работ, подлежащих выполнению в сокращенном против предусмотренного действующими нормативными документами объеме: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- корректировка проектной документации при изменении задания на проектирование;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- разработка дополнительных вариантов проекта или отдельных технологических, конструктивных, архитектурных и других решений, выдаваемых заказчику, определяется по цене таблиц 1 и 3 на разработ</w:t>
      </w:r>
      <w:r>
        <w:rPr>
          <w:sz w:val="20"/>
        </w:rPr>
        <w:t>ку проектной документации соответствующего объекта или его части (определяемой в соответствии с ее относительной стоимостью) с применением понижающего коэффициента, размер которого устанавливается проектной организацией в соответствии с трудоемкостью работ по согласованию с заказчиком.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2.5. Дополнительные затраты, связанные с выполнением проектных </w:t>
      </w: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работ организациями, расположенными в районах Крайнего Севера и </w:t>
      </w: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 приравненных к ним отдаленных местностях и других районах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Затраты на проектные работы проектн</w:t>
      </w:r>
      <w:r>
        <w:rPr>
          <w:sz w:val="20"/>
        </w:rPr>
        <w:t>ых организаций, расположенных в районах, в которых производятся в соответствии с действующим законодательством выплаты, обусловленные районным регулированием оплаты труда, в том числе выплаты по районным коэффициентам и коэффициентам за работу в пустынных, безводных и высокогорных местностях, а также надбавки к заработной плате за непрерывный стаж работы и других льгот, предусмотренных законодательством, в районах Крайнего Севера и приравненных к ним местностях, в районах Европейского Севера и других района</w:t>
      </w:r>
      <w:r>
        <w:rPr>
          <w:sz w:val="20"/>
        </w:rPr>
        <w:t>х с тяжелыми природно-климатическими условиями, определяются дополнительно к базовой цене путем введения к итогу базовой цены повышающих коэффициентов, установленных на основании соответствующих обосновывающих расчетов, выполняемых самой организацией. Указанное положение не применяется, если перечисленные выплаты учтены стоимостью строительства, в процентах от которой определяется базовая цена проектных работ.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2.6. Обоснование инвестиций в строительство предприятий, </w:t>
      </w: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зданий и сооружений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разра</w:t>
      </w:r>
      <w:r>
        <w:rPr>
          <w:sz w:val="20"/>
        </w:rPr>
        <w:t>ботки обоснований инвестиций в строительство объектов, выполняемых в соответствии с СП-11-101-95, определяется в процентах от базовой цены проектных работ, рассчитанной в порядке, установленном пп. 2.1 и 2.10 с применением коэффициента до 0,2.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sz w:val="20"/>
          <w:u w:val="single"/>
        </w:rPr>
        <w:t xml:space="preserve">2.7. </w:t>
      </w:r>
      <w:r>
        <w:rPr>
          <w:i/>
          <w:sz w:val="20"/>
          <w:u w:val="single"/>
        </w:rPr>
        <w:t>Технико-экономическое обоснование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разработки технико-экономического обоснования (ТЭО) строительства в порядке, установленном пп. 2.1 и 2.10 с применением, коэффициента, соответствующего проценту проекта в общей стоимости проектных работ, приведенно</w:t>
      </w:r>
      <w:r>
        <w:rPr>
          <w:sz w:val="20"/>
        </w:rPr>
        <w:t>му в таблице 4.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2.8. Участие проектных организаций в выборе земельного участка </w:t>
      </w: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(трассы) для строительства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Выбор земельного участка (трассы) для строительства осуществляется, как правило, в обосновании инвестиций в строительство объекта.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При определении стоимости разработки обоснований инвестиций в строительство объекта затраты проектных организаций, связанные с их участием в выборе земельного участка (трассы), учитываются в этой цене.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 случаях, когда при разработке обоснований инвестиций в строительство</w:t>
      </w:r>
      <w:r>
        <w:rPr>
          <w:sz w:val="20"/>
        </w:rPr>
        <w:t xml:space="preserve"> объекта выбор земельного участка (трассы) не выполнялся, базовую цену обоснования инвестиций следует скорректировать с применением поправочного коэффициента, как выполнение работ в сокращенном против предусмотренного действующими нормативными документами объеме.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Состав работ по выбору площадки (трассы) определен СП 11-101-95.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 случае, когда выбор земельного участка осуществляется на стадии проект (рабочий проект), стоимость участия проектных организаций в этих работах учитывается дополнительно при установ</w:t>
      </w:r>
      <w:r>
        <w:rPr>
          <w:sz w:val="20"/>
        </w:rPr>
        <w:t>лении договорной цены путем применения к общей базовой цене коэффициента 1,05 в соответствии с трудоемкостью работ по согласованию с заказчиком.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2.9. Определение базовой цены непроектных работ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работ по подготовке технических условий на закупку оборудования по импорту и на строительство, на участие в предконтрактных переговорах с инофирмами и по подготовке для заключения контрактов составляет до 25% от общей базовой цены проектных работ и устанавливается проектной организацией.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При предоставле</w:t>
      </w:r>
      <w:r>
        <w:rPr>
          <w:sz w:val="20"/>
        </w:rPr>
        <w:t>нии проектной организацией для проведения переговоров с инофирмами автотранспорта, переводчиков, оказание визовой поддержки и т. д. стоимость этих работ не учитывается и оплачивается дополнительно.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2.10. Разработка бизнес-плана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Базовая цена разработки бизнес-плана определяется от базовой цены разработки проектной документации с коэффициентом до 0,15.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2.11. При проектировании комбинатов, состоящих из нескольких заводов, фабрик, производств, цена их определяется путем суммирования наибольшей базовой цены, о</w:t>
      </w:r>
      <w:r>
        <w:rPr>
          <w:sz w:val="20"/>
        </w:rPr>
        <w:t>пределенной по таблице 1 входящих в комбинат заводов, фабрик, производств, с ценами остальных заводов, фабрик, производств с применением к ним коэффициента 0,85.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2.12. При разработке в составе проекта раздела "Анализ рынка сбыта продукции" базовая цена проекта определяется с применением коэффициента 1,2.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2.13. Цена разработки отдельного проекта мероприятий по охране атмосферного воздуха от загрязнений промышленными выбросами или проекта ПДВ по поручению Заказчика определяется от общей базовой цены проектных</w:t>
      </w:r>
      <w:r>
        <w:rPr>
          <w:sz w:val="20"/>
        </w:rPr>
        <w:t xml:space="preserve"> работ с применением коэффициента до 0,2.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3. ПРИМЕР ОПРЕДЕЛЕНИЯ БАЗОВОЙ ЦЕНЫ ПРОЕКТИРОВАНИЯ ОБЪЕКТА, показатели стоимости строительства которого находятся</w:t>
      </w: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между показателями, приведенными в таблице</w:t>
      </w:r>
    </w:p>
    <w:p w:rsidR="00000000" w:rsidRDefault="003A0A7B">
      <w:pPr>
        <w:ind w:firstLine="284"/>
        <w:jc w:val="center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Следует определить стоимость разработки рабочей документации объекта I категории сложности, стоимость строительства которого 0,8 млн. руб.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 таблице 3 "Проценты базовых цен по объектам целлюлозно-бумажной промышленности" даны значения: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172"/>
        <w:gridCol w:w="1172"/>
        <w:gridCol w:w="1172"/>
        <w:gridCol w:w="479"/>
        <w:gridCol w:w="11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Стоимость строительства 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ценах 1991 г. 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</w:t>
            </w:r>
            <w:r>
              <w:rPr>
                <w:sz w:val="20"/>
              </w:rPr>
              <w:t>ктные работы от общей стоимости строительства в ценах 1991 г.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млн. руб.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6,91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1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7,97</w:t>
            </w: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Формула расчета: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b/>
          <w:i/>
          <w:sz w:val="20"/>
        </w:rPr>
      </w:pPr>
      <w:r>
        <w:rPr>
          <w:b/>
          <w:i/>
          <w:position w:val="-24"/>
          <w:sz w:val="20"/>
        </w:rPr>
        <w:object w:dxaOrig="229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27.75pt" o:ole="">
            <v:imagedata r:id="rId4" o:title=""/>
          </v:shape>
          <o:OLEObject Type="Embed" ProgID="Equation.3" ShapeID="_x0000_i1025" DrawAspect="Content" ObjectID="_1427232331" r:id="rId5"/>
        </w:object>
      </w:r>
    </w:p>
    <w:p w:rsidR="00000000" w:rsidRDefault="003A0A7B">
      <w:pPr>
        <w:ind w:firstLine="284"/>
        <w:rPr>
          <w:b/>
          <w:i/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или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position w:val="-24"/>
          <w:sz w:val="20"/>
        </w:rPr>
        <w:object w:dxaOrig="2340" w:dyaOrig="560">
          <v:shape id="_x0000_i1026" type="#_x0000_t75" style="width:117pt;height:27.75pt" o:ole="">
            <v:imagedata r:id="rId6" o:title=""/>
          </v:shape>
          <o:OLEObject Type="Embed" ProgID="Equation.3" ShapeID="_x0000_i1026" DrawAspect="Content" ObjectID="_1427232332" r:id="rId7"/>
        </w:objec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Таким образом, стоимость разработки рабочей документации составит: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position w:val="-22"/>
          <w:sz w:val="20"/>
        </w:rPr>
        <w:object w:dxaOrig="1840" w:dyaOrig="560">
          <v:shape id="_x0000_i1027" type="#_x0000_t75" style="width:92.25pt;height:27.75pt" o:ole="">
            <v:imagedata r:id="rId8" o:title=""/>
          </v:shape>
          <o:OLEObject Type="Embed" ProgID="Equation.3" ShapeID="_x0000_i1027" DrawAspect="Content" ObjectID="_1427232333" r:id="rId9"/>
        </w:object>
      </w:r>
      <w:r>
        <w:rPr>
          <w:sz w:val="20"/>
        </w:rPr>
        <w:t xml:space="preserve">   где</w:t>
      </w:r>
    </w:p>
    <w:p w:rsidR="00000000" w:rsidRDefault="003A0A7B">
      <w:pPr>
        <w:ind w:firstLine="284"/>
        <w:rPr>
          <w:i/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0,8 - стоимость строительства в ценах 1991 года;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К - коэффициент перевода стоимости строительства в текущие цены;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4,66 - процент базовой цены от стоимости строительства;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0,7(70%)-процент стоимости разработки рабочей документации от базовой цены по таблице 4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4. НОМЕНКЛАТУРА И УДЕЛЬНЫЙ ВЕС ЦЕНЫ ПРОЕКТИРОВАНИЯ ЗДАНИЙ ЦЕХОВ И СООРУЖЕНИЙ, ВХОДЯЩИХ В СОСТАВ ЗАВОДОВ И ФАБРИК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Номенклатура и удельный вес цены проектирования зданий цехов и сооружений, входящих в состав заводов и фабрик, приведены в приложении (таблицы 1, 2, 3).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В случаях, когда в состав проектируемого завода или фабрики не входят все здания цехов и сооружений, указанные в приложении, то к базовой цене применяется п</w:t>
      </w:r>
      <w:r>
        <w:rPr>
          <w:sz w:val="20"/>
        </w:rPr>
        <w:t>оправочный коэффициент меньше единицы, учитывающий удельный вес исключаемых объектов.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Например. Если в составе завода сульфатной небеленой целлюлозы не предусматривается строительство зданий цехов по переработке побочных продуктов, то согласно приложению 1 исключается их удельный вес, равный 4,5%, и к общей базовой цене завода применяется поправочный коэффициент, равный 0,955, учитывающий удельный вес зданий цехов в составе проектируемого завода.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right"/>
        <w:rPr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3A0A7B">
      <w:pPr>
        <w:ind w:firstLine="284"/>
        <w:jc w:val="right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Приложение</w:t>
      </w:r>
    </w:p>
    <w:p w:rsidR="00000000" w:rsidRDefault="003A0A7B">
      <w:pPr>
        <w:ind w:firstLine="284"/>
        <w:jc w:val="right"/>
        <w:rPr>
          <w:b/>
          <w:i/>
          <w:sz w:val="20"/>
          <w:u w:val="single"/>
        </w:rPr>
      </w:pP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ТАБЛИЦЫ НОМЕНКЛАТУРЫ И УДЕЛЬНОГО ВЕСА ЦЕНЫ </w:t>
      </w: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</w:t>
      </w:r>
      <w:r>
        <w:rPr>
          <w:b/>
          <w:i/>
          <w:sz w:val="20"/>
        </w:rPr>
        <w:t xml:space="preserve">ОЕКТИРОВАНИЯ ЗДАНИЙ ЦЕХОВ И СООРУЖЕНИЙ, </w:t>
      </w: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ВХОДЯЩИХ В СОСТАВ ЗАВОДОВ И ФАБРИК </w:t>
      </w: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(в процентах от цены)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Номенклатура и удельный вес цены проектирования зданий, цехов и сооружений,</w:t>
      </w:r>
    </w:p>
    <w:p w:rsidR="00000000" w:rsidRDefault="003A0A7B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 xml:space="preserve">входящих в состав целлюлозных заводов </w:t>
      </w:r>
    </w:p>
    <w:p w:rsidR="00000000" w:rsidRDefault="003A0A7B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(в процентах от цены)</w:t>
      </w:r>
    </w:p>
    <w:p w:rsidR="00000000" w:rsidRDefault="003A0A7B">
      <w:pPr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3A0A7B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3"/>
        <w:gridCol w:w="1275"/>
        <w:gridCol w:w="1276"/>
        <w:gridCol w:w="1276"/>
        <w:gridCol w:w="1276"/>
        <w:gridCol w:w="1562"/>
        <w:gridCol w:w="1371"/>
        <w:gridCol w:w="1370"/>
        <w:gridCol w:w="1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зданий 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цехов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 сульфатной небеленой целлюлозы нормального и высокого выхода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 беленой сульфатной целлюлозы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 беленой сульфатной целлюлозы для химической переработки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 сульфатной небеленой целлюлозы из опилок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 нейтрально-су</w:t>
            </w:r>
            <w:r>
              <w:rPr>
                <w:sz w:val="20"/>
              </w:rPr>
              <w:t>льфитной полуцеллюлозы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Заводы сульфитной и бисульфитной небеленой целлюлозы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Заводы сульфитной и бисульфитной беленой целлюлозы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Завод 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беленой сульфитной целлюлозы для химической переработки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древесно-подготовительного цеха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кислотного цеха, здание цеха регенерации серы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цеха варки и промывки целлюлозы, здание цеха сортиро-вания небеленой целлюлозы, здание очистного цеха, здание цеха улавливания волокна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выпарного цеха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Содорегенерационная ТЭС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цеха каустизации зеленого щелока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цеха приготовления варочного моносульфитного щелока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цеха отбелки и сортирования беленой целлюлозы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цеха отжима и сушки целлюлозы, склад готовой продукции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Аэрофонтанная сушка и склад готовой продукции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right"/>
              <w:rPr>
                <w:sz w:val="20"/>
              </w:rPr>
            </w:pPr>
          </w:p>
          <w:p w:rsidR="00000000" w:rsidRDefault="003A0A7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Итого по пп. 1-10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55,60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55,60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55,00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47,40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54,00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54,00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55,00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Завод побочных продуктов в составе: здание цеха получения сырого талового масла, здание цеха переработки побочных продуктов, включая ректификацию талового масла, здание цеха получения и ректификации скипидара, здание цеха экстракции неомыляемых веществ со складом, здание цеха получения модифицированной канифоли, здание цеха очистки грязного конденсата варочного и выпарного зданий цехов, установка сжигания жидких отходов, склад ЛВЖ и ГЖ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Склады последрож</w:t>
            </w:r>
            <w:r>
              <w:rPr>
                <w:sz w:val="20"/>
              </w:rPr>
              <w:t>жевой бражки, бардяных концентратов и здание цеха по получению сухих бардяных концентратов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Биржа, включая приемные устройства древесины, выгрузочные устройства и транспорт древесины в производство, склады коры, щепы, базисный склад древесины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Склады химикатов, включая базисный склад химикатов, склад сульфата натрия, кальционирован-ной и каустической соды, склад известкового камня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Склад металла, контейнерная площадка, главный материальный</w:t>
            </w:r>
            <w:r>
              <w:rPr>
                <w:sz w:val="20"/>
              </w:rPr>
              <w:t xml:space="preserve"> склад, склад оборудования и одежды машин, склад ГСМ и ЛВЖ, склад сжатых газов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63" w:type="dxa"/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Межцеховые технологические коммуникации</w:t>
            </w:r>
          </w:p>
        </w:tc>
        <w:tc>
          <w:tcPr>
            <w:tcW w:w="1273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0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3" w:type="dxa"/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шлифовального цеха и склад валов</w:t>
            </w:r>
          </w:p>
        </w:tc>
        <w:tc>
          <w:tcPr>
            <w:tcW w:w="1273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0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3" w:type="dxa"/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ЦРММ, здание электроремонтного цеха, здание цеха КИПиА</w:t>
            </w:r>
          </w:p>
        </w:tc>
        <w:tc>
          <w:tcPr>
            <w:tcW w:w="1273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370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3" w:type="dxa"/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Центральная компрессорная</w:t>
            </w:r>
          </w:p>
        </w:tc>
        <w:tc>
          <w:tcPr>
            <w:tcW w:w="1273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70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3" w:type="dxa"/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Заводоуправление в составе: административный корпус, газоспасательная и газодымная станции, прачечная спецодежды, пождепо, ЦЗЛ, ЭВМ</w:t>
            </w:r>
          </w:p>
        </w:tc>
        <w:tc>
          <w:tcPr>
            <w:tcW w:w="1273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370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3" w:type="dxa"/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Внутриплощадочное электроснабжение</w:t>
            </w:r>
          </w:p>
        </w:tc>
        <w:tc>
          <w:tcPr>
            <w:tcW w:w="1273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559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70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3" w:type="dxa"/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Внутриплощадочные сети водоснабжения и канализации, сооружения для обесцвечивания и освещения сточных вод, станция нейтрализации сточных вод, сооружения оборотного водоснабжения</w:t>
            </w:r>
          </w:p>
        </w:tc>
        <w:tc>
          <w:tcPr>
            <w:tcW w:w="1273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70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3" w:type="dxa"/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Система противопожарного водоснабжения</w:t>
            </w:r>
          </w:p>
        </w:tc>
        <w:tc>
          <w:tcPr>
            <w:tcW w:w="1273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59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70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3" w:type="dxa"/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Связь, охранная пожарная сигнализация, автоматическое пожаротушение</w:t>
            </w:r>
          </w:p>
        </w:tc>
        <w:tc>
          <w:tcPr>
            <w:tcW w:w="1273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59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0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63" w:type="dxa"/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Внутриплощадочные автодороги</w:t>
            </w:r>
          </w:p>
        </w:tc>
        <w:tc>
          <w:tcPr>
            <w:tcW w:w="1273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9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70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63" w:type="dxa"/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Внутриплощадочные железнодорожные пути</w:t>
            </w:r>
          </w:p>
        </w:tc>
        <w:tc>
          <w:tcPr>
            <w:tcW w:w="1273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59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70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63" w:type="dxa"/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Генплан, включая проходные, санитарно-защитную зону, рекультивацию земель, гараж спецмашин, транспортное управление</w:t>
            </w:r>
          </w:p>
        </w:tc>
        <w:tc>
          <w:tcPr>
            <w:tcW w:w="1273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0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1" w:type="dxa"/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</w:tbl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b/>
          <w:i/>
          <w:sz w:val="20"/>
        </w:rPr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3A0A7B">
      <w:pPr>
        <w:ind w:firstLine="284"/>
        <w:rPr>
          <w:b/>
          <w:i/>
          <w:sz w:val="20"/>
        </w:rPr>
      </w:pP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НОМЕНКЛАТУРА И УДЕЛЬНЫЙ ВЕС ЦЕНЫ ПРОЕКТИРОВАНИЯ </w:t>
      </w: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ЗДАНИЙ ЦЕХОВ И СООРУЖЕНИЙ, ВХОДЯЩИХ В СОСТАВ ЗАВОДОВ </w:t>
      </w:r>
    </w:p>
    <w:p w:rsidR="00000000" w:rsidRDefault="003A0A7B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ПО ПРОИЗВОДСТВУ ПОЛУФАБРИКАТОВ</w:t>
      </w:r>
    </w:p>
    <w:p w:rsidR="00000000" w:rsidRDefault="003A0A7B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(в процентах от цены)</w:t>
      </w:r>
    </w:p>
    <w:p w:rsidR="00000000" w:rsidRDefault="003A0A7B">
      <w:pPr>
        <w:ind w:firstLine="284"/>
        <w:jc w:val="center"/>
        <w:rPr>
          <w:sz w:val="20"/>
        </w:rPr>
      </w:pPr>
    </w:p>
    <w:p w:rsidR="00000000" w:rsidRDefault="003A0A7B">
      <w:pPr>
        <w:ind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3A0A7B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85"/>
        <w:gridCol w:w="9"/>
        <w:gridCol w:w="985"/>
        <w:gridCol w:w="7"/>
        <w:gridCol w:w="1175"/>
        <w:gridCol w:w="1663"/>
        <w:gridCol w:w="1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зданий 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цехов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 белой древесной массы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 беленой ТММ и ХТММ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 обесцвечен</w:t>
            </w:r>
            <w:r>
              <w:rPr>
                <w:sz w:val="20"/>
              </w:rPr>
              <w:t>ной и необесцвеченной макулатурной массы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 хлопковой тряпичной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древесно-подготовительного цеха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Главный производственный корпус в составе зданий:</w:t>
            </w:r>
          </w:p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дефибрерного цеха,</w:t>
            </w:r>
          </w:p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цеха размола щепы,</w:t>
            </w:r>
          </w:p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цеха сортирование, очистки, сгущения и аккумулирования, отбелки, аэрофонтанной сушки, упаковки, транспортировки и склад готовой продукции, служебно-бытовые помещения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11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цеха регенерации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Склады баланса, щепы, коры (открытые и закрытые), б</w:t>
            </w:r>
            <w:r>
              <w:rPr>
                <w:sz w:val="20"/>
              </w:rPr>
              <w:t>азисный склад древесины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1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Коммуникации непрерывного транспорта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1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Базисный склад химикатов, склад жидких химикатов, склад аммиачной воды, склад хлорного железа и соляной кислоты, склад каустической соды, склад ГСМ, ЛВЖ и сжатых газов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Склад металла, контейнерная площадка, главный материальный склад, склад оборудования, одежды машин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Межцеховые технологические коммуникации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11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Заводоуправление в составе: административный корпус, газо</w:t>
            </w:r>
            <w:r>
              <w:rPr>
                <w:sz w:val="20"/>
              </w:rPr>
              <w:t>спасательная и газодымная станции, прачечная спецодежды, пождепо, ЦЗЛ и ЭВМ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ЦРММ, здание электроремонтного цеха, здание цеха КИПиА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Центральная компрессорная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Внутриплощадочное электроснабжение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Внутриплощадочные сети ВК, сооружения оборотного водоснабжения, локальные очистные сооружения, станции нейтрализации сточных вод, сооружения для осветления оборотных вод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Система противопожарного водоснабжения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Генплан, включая проходные, санитарно-защитную зону, рекультивацию земель, гараж спецмашин, транспортное управление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Внутриплощадочные автодороги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Железнодорожные пути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000000" w:rsidRDefault="003A0A7B">
      <w:pPr>
        <w:ind w:firstLine="284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Номенклатура и удельный вес цены проектирования зданий, цехов и сооружений, </w:t>
      </w: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входящих в состав фабрик по производству бумаги, картона и переработки в изделия</w:t>
      </w:r>
    </w:p>
    <w:p w:rsidR="00000000" w:rsidRDefault="003A0A7B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 xml:space="preserve"> (в процентах от цены)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3A0A7B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5416"/>
        <w:gridCol w:w="1984"/>
        <w:gridCol w:w="1672"/>
        <w:gridCol w:w="1710"/>
        <w:gridCol w:w="1495"/>
        <w:gridCol w:w="1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зданий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цехов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Фабри</w:t>
            </w:r>
            <w:r>
              <w:rPr>
                <w:sz w:val="20"/>
              </w:rPr>
              <w:t>ка оберточной, мешочной, электроизоляционной (кабельной) бумаги, основы для синтетического шпона, картона, ПСГК, технических видов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Фабрика 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печатных видов бумаг, писчих, мелованных видов бумаг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Фабрика </w:t>
            </w:r>
          </w:p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тонких бумаг, конденсаторной, санитарно-бытовых и впитывающих бумаг, фильтровальных бумаг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Фабрика технических видов бумаги из синтетического волокна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Фабрика коробочного картона и бумаги для расфасовки продуктов на автоматах, специальных и технических видов картона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Главный производственный ко</w:t>
            </w:r>
            <w:r>
              <w:rPr>
                <w:sz w:val="20"/>
              </w:rPr>
              <w:t>рпус, включая здание цеха роспуска, привозных полуфабрикатов, здание цеха приготовления меловальной пасты, здание цеха листовых бумаг, здание цеха мелования бумаги, здание цеха приготовления бумажной массы, здание цеха аккумулирования полуфабрикатов, брака и оборотной воды, здание цеха приготовления химикатов, склад полуфабрикатов и готовой продукции, лабораторию и здание цеха изготовления гильз, служебно-бытовые помещения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Склад металла, контейнерная площадка, главный материальны</w:t>
            </w:r>
            <w:r>
              <w:rPr>
                <w:sz w:val="20"/>
              </w:rPr>
              <w:t>й склад, склад оборудования, одежды машин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шлифовального цеха и склад валов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Межцеховые технологические коммуникации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Склад химикатов, склад ГСМ и ЛВЖ, склад сжатых газов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Заводоуправление в составе: административный корпус, газоспасательная и газодымная станции, прачечная спецодежды, пождепо, ЦЗЛ и ЭВМ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Центральная компрессорная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ЦРММ и КИП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Внутриплощадочное электроснабжен</w:t>
            </w:r>
            <w:r>
              <w:rPr>
                <w:sz w:val="20"/>
              </w:rPr>
              <w:t>ие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Внутриплощадочные сети ВК, сооружения оборотного водоснабжения, локальные очистные сооружения, станции нейтрализации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Генплан, включая проходные, санитарно-защитную зону, рекультивацию земель, гараж спецмашин, транспортное управление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Внутриплощадочные автодороги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Внутриплощадочные железнодорожные пути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0A7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СОДЕРЖАНИЕ</w:t>
      </w:r>
    </w:p>
    <w:p w:rsidR="00000000" w:rsidRDefault="003A0A7B">
      <w:pPr>
        <w:ind w:firstLine="284"/>
        <w:rPr>
          <w:sz w:val="20"/>
        </w:rPr>
      </w:pP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 xml:space="preserve">Введение  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>1. Разъяснения по</w:t>
      </w:r>
      <w:r>
        <w:rPr>
          <w:sz w:val="20"/>
        </w:rPr>
        <w:t xml:space="preserve"> пунктам основных положений и порядка определения базовой цены по Справочнику 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 xml:space="preserve">2. Разъяснения порядка определения базовой цены разработки отдельных видов проектных и непроектных работ, не нашедших отражения в Справочнике базовых цен 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 xml:space="preserve">3. Пример определения базовой цены проектирования объекта, показатели стоимости строительства которого находятся между показателями, приведенными в таблице 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 xml:space="preserve">4. Номенклатура и удельный вес цены проектирования зданий цехов и сооружений, входящих в состав заводов и фабрик </w:t>
      </w:r>
    </w:p>
    <w:p w:rsidR="00000000" w:rsidRDefault="003A0A7B">
      <w:pPr>
        <w:ind w:firstLine="284"/>
        <w:rPr>
          <w:sz w:val="20"/>
        </w:rPr>
      </w:pPr>
      <w:r>
        <w:rPr>
          <w:i/>
          <w:sz w:val="20"/>
          <w:u w:val="single"/>
        </w:rPr>
        <w:t>Приложе</w:t>
      </w:r>
      <w:r>
        <w:rPr>
          <w:i/>
          <w:sz w:val="20"/>
          <w:u w:val="single"/>
        </w:rPr>
        <w:t>ние.</w:t>
      </w:r>
    </w:p>
    <w:p w:rsidR="00000000" w:rsidRDefault="003A0A7B">
      <w:pPr>
        <w:ind w:firstLine="284"/>
        <w:rPr>
          <w:sz w:val="20"/>
        </w:rPr>
      </w:pPr>
      <w:r>
        <w:rPr>
          <w:sz w:val="20"/>
        </w:rPr>
        <w:t xml:space="preserve">Таблицы номенклатуры и удельного веса цены проектирования зданий цехов и сооружений, входящих в состав заводов и фабрик </w:t>
      </w:r>
    </w:p>
    <w:sectPr w:rsidR="00000000">
      <w:type w:val="nextColumn"/>
      <w:pgSz w:w="16840" w:h="11907" w:orient="landscape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A7B"/>
    <w:rsid w:val="003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4871</Words>
  <Characters>27767</Characters>
  <Application>Microsoft Office Word</Application>
  <DocSecurity>0</DocSecurity>
  <Lines>231</Lines>
  <Paragraphs>65</Paragraphs>
  <ScaleCrop>false</ScaleCrop>
  <Company>Elcom Ltd</Company>
  <LinksUpToDate>false</LinksUpToDate>
  <CharactersWithSpaces>32573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МИНСТРОЙ РОССИИ 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