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2552"/>
        <w:gridCol w:w="25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7B7584">
            <w:pPr>
              <w:jc w:val="center"/>
              <w:rPr>
                <w:b/>
              </w:rPr>
            </w:pPr>
            <w:bookmarkStart w:id="0" w:name="OCRUncertain001"/>
            <w:bookmarkStart w:id="1" w:name="BITSoft"/>
            <w:bookmarkStart w:id="2" w:name="_GoBack"/>
            <w:bookmarkEnd w:id="1"/>
            <w:bookmarkEnd w:id="2"/>
            <w:r>
              <w:rPr>
                <w:b/>
              </w:rPr>
              <w:t>Государственный</w:t>
            </w:r>
            <w:bookmarkEnd w:id="0"/>
            <w:r>
              <w:rPr>
                <w:b/>
              </w:rPr>
              <w:t xml:space="preserve"> комит</w:t>
            </w:r>
            <w:bookmarkStart w:id="3" w:name="OCRUncertain002"/>
            <w:r>
              <w:rPr>
                <w:b/>
              </w:rPr>
              <w:t>е</w:t>
            </w:r>
            <w:bookmarkEnd w:id="3"/>
            <w:r>
              <w:rPr>
                <w:b/>
              </w:rPr>
              <w:t>т СССР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по делам строительства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B7584">
            <w:pPr>
              <w:jc w:val="center"/>
              <w:rPr>
                <w:b/>
              </w:rPr>
            </w:pPr>
            <w:r>
              <w:rPr>
                <w:b/>
              </w:rPr>
              <w:t>Строит</w:t>
            </w:r>
            <w:bookmarkStart w:id="4" w:name="OCRUncertain003"/>
            <w:r>
              <w:rPr>
                <w:b/>
              </w:rPr>
              <w:t>е</w:t>
            </w:r>
            <w:bookmarkEnd w:id="4"/>
            <w:r>
              <w:rPr>
                <w:b/>
              </w:rPr>
              <w:t>льны</w:t>
            </w:r>
            <w:bookmarkStart w:id="5" w:name="OCRUncertain004"/>
            <w:r>
              <w:rPr>
                <w:b/>
              </w:rPr>
              <w:t>е</w:t>
            </w:r>
            <w:bookmarkEnd w:id="5"/>
            <w:r>
              <w:rPr>
                <w:b/>
              </w:rPr>
              <w:t xml:space="preserve"> нормы и правила</w:t>
            </w:r>
          </w:p>
        </w:tc>
        <w:tc>
          <w:tcPr>
            <w:tcW w:w="2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7B7584">
            <w:pPr>
              <w:jc w:val="center"/>
              <w:rPr>
                <w:b/>
              </w:rPr>
            </w:pPr>
            <w:bookmarkStart w:id="6" w:name="OCRUncertain005"/>
          </w:p>
          <w:p w:rsidR="00000000" w:rsidRDefault="007B7584">
            <w:pPr>
              <w:jc w:val="center"/>
              <w:rPr>
                <w:b/>
                <w:noProof/>
              </w:rPr>
            </w:pPr>
            <w:r>
              <w:rPr>
                <w:b/>
              </w:rPr>
              <w:t>СНиП</w:t>
            </w:r>
            <w:bookmarkEnd w:id="6"/>
            <w:r>
              <w:rPr>
                <w:b/>
                <w:noProof/>
              </w:rPr>
              <w:t xml:space="preserve"> 2.10.04</w:t>
            </w:r>
            <w:bookmarkStart w:id="7" w:name="OCRUncertain006"/>
            <w:r>
              <w:rPr>
                <w:b/>
                <w:noProof/>
              </w:rPr>
              <w:t>-</w:t>
            </w:r>
            <w:bookmarkEnd w:id="7"/>
            <w:r>
              <w:rPr>
                <w:b/>
                <w:noProof/>
              </w:rP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7B7584">
            <w:pPr>
              <w:jc w:val="center"/>
              <w:rPr>
                <w:b/>
              </w:rPr>
            </w:pPr>
            <w:r>
              <w:rPr>
                <w:b/>
              </w:rPr>
              <w:t>(Госстрой СССР)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7B7584">
            <w:pPr>
              <w:jc w:val="center"/>
              <w:rPr>
                <w:b/>
              </w:rPr>
            </w:pPr>
            <w:r>
              <w:rPr>
                <w:b/>
              </w:rPr>
              <w:t>Т</w:t>
            </w:r>
            <w:bookmarkStart w:id="8" w:name="OCRUncertain008"/>
            <w:r>
              <w:rPr>
                <w:b/>
              </w:rPr>
              <w:t>е</w:t>
            </w:r>
            <w:bookmarkEnd w:id="8"/>
            <w:r>
              <w:rPr>
                <w:b/>
              </w:rPr>
              <w:t>плицы и п</w:t>
            </w:r>
            <w:bookmarkStart w:id="9" w:name="OCRUncertain009"/>
            <w:r>
              <w:rPr>
                <w:b/>
              </w:rPr>
              <w:t>а</w:t>
            </w:r>
            <w:bookmarkEnd w:id="9"/>
            <w:r>
              <w:rPr>
                <w:b/>
              </w:rPr>
              <w:t>рники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7B7584">
            <w:pPr>
              <w:jc w:val="center"/>
              <w:rPr>
                <w:b/>
                <w:lang w:val="en-US"/>
              </w:rPr>
            </w:pPr>
            <w:bookmarkStart w:id="10" w:name="OCRUncertain010"/>
            <w:r>
              <w:rPr>
                <w:b/>
              </w:rPr>
              <w:t>Взамен</w:t>
            </w:r>
            <w:bookmarkEnd w:id="10"/>
            <w:r>
              <w:rPr>
                <w:b/>
              </w:rPr>
              <w:t xml:space="preserve"> </w:t>
            </w:r>
            <w:bookmarkStart w:id="11" w:name="OCRUncertain011"/>
            <w:r>
              <w:rPr>
                <w:b/>
              </w:rPr>
              <w:t>СНиП</w:t>
            </w:r>
            <w:bookmarkEnd w:id="11"/>
            <w:r>
              <w:rPr>
                <w:b/>
                <w:lang w:val="en-US"/>
              </w:rPr>
              <w:t xml:space="preserve"> II-100-75</w:t>
            </w:r>
          </w:p>
        </w:tc>
      </w:tr>
    </w:tbl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t>Внесено Изменение № 1, утвержденное Постановлением Госстроя России от 24 февраля 2000 г. № 17</w:t>
      </w:r>
    </w:p>
    <w:p w:rsidR="00000000" w:rsidRDefault="007B7584">
      <w:pPr>
        <w:ind w:firstLine="284"/>
      </w:pPr>
    </w:p>
    <w:p w:rsidR="00000000" w:rsidRDefault="007B7584">
      <w:pPr>
        <w:ind w:firstLine="284"/>
        <w:jc w:val="both"/>
      </w:pPr>
      <w:r>
        <w:t>Наст</w:t>
      </w:r>
      <w:r>
        <w:t>оящие нормы распространяются на проектирование теплиц и парников для выращивания овощей и рассады.</w:t>
      </w:r>
    </w:p>
    <w:p w:rsidR="00000000" w:rsidRDefault="007B7584">
      <w:pPr>
        <w:ind w:firstLine="284"/>
        <w:jc w:val="both"/>
        <w:rPr>
          <w:b/>
        </w:rPr>
      </w:pPr>
    </w:p>
    <w:p w:rsidR="00000000" w:rsidRDefault="007B7584">
      <w:pPr>
        <w:ind w:firstLine="284"/>
        <w:jc w:val="both"/>
        <w:rPr>
          <w:b/>
        </w:rPr>
      </w:pPr>
    </w:p>
    <w:p w:rsidR="00000000" w:rsidRDefault="007B7584">
      <w:pPr>
        <w:ind w:firstLine="284"/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ОБЩИЕ ПОЛОЖЕНИЯ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1.1.</w:t>
      </w:r>
      <w:r>
        <w:t xml:space="preserve"> Степень огнестойкости и пределы огнестойкости строительных конструкций теплиц, парников и соединительных коридоров не нормируются.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1.2.</w:t>
      </w:r>
      <w:r>
        <w:t xml:space="preserve"> Общая площадь теплиц определяется в соответствии с требованиями СНиП</w:t>
      </w:r>
      <w:r>
        <w:rPr>
          <w:noProof/>
        </w:rPr>
        <w:t xml:space="preserve"> </w:t>
      </w:r>
      <w:r>
        <w:t>2.09.02-85*</w:t>
      </w:r>
      <w:r>
        <w:rPr>
          <w:noProof/>
        </w:rPr>
        <w:t>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1.3.</w:t>
      </w:r>
      <w:r>
        <w:t xml:space="preserve"> Расстояние между теплицами, эксплуатируемыми в течение всего года (зимними)</w:t>
      </w:r>
      <w:r>
        <w:rPr>
          <w:noProof/>
        </w:rPr>
        <w:t xml:space="preserve"> </w:t>
      </w:r>
      <w:bookmarkStart w:id="12" w:name="OCRUncertain013"/>
      <w:r>
        <w:rPr>
          <w:noProof/>
        </w:rPr>
        <w:t>,</w:t>
      </w:r>
      <w:bookmarkEnd w:id="12"/>
      <w:r>
        <w:t xml:space="preserve"> следует назначать не менее</w:t>
      </w:r>
      <w:r>
        <w:rPr>
          <w:noProof/>
        </w:rPr>
        <w:t xml:space="preserve"> 6</w:t>
      </w:r>
      <w:r>
        <w:t xml:space="preserve"> </w:t>
      </w:r>
      <w:bookmarkStart w:id="13" w:name="OCRUncertain014"/>
      <w:r>
        <w:t>м,</w:t>
      </w:r>
      <w:bookmarkEnd w:id="13"/>
      <w:r>
        <w:t xml:space="preserve"> между теплицами, эк</w:t>
      </w:r>
      <w:r>
        <w:t>сплуатируемыми весной, летом и осенью (весенними)</w:t>
      </w:r>
      <w:r>
        <w:rPr>
          <w:noProof/>
        </w:rPr>
        <w:t xml:space="preserve"> </w:t>
      </w:r>
      <w:bookmarkStart w:id="14" w:name="OCRUncertain015"/>
      <w:r>
        <w:rPr>
          <w:noProof/>
        </w:rPr>
        <w:t>,</w:t>
      </w:r>
      <w:bookmarkEnd w:id="14"/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1,5</w:t>
      </w:r>
      <w:r>
        <w:t xml:space="preserve"> м.</w:t>
      </w:r>
    </w:p>
    <w:p w:rsidR="00000000" w:rsidRDefault="007B7584">
      <w:pPr>
        <w:ind w:firstLine="284"/>
        <w:jc w:val="both"/>
      </w:pPr>
      <w:r>
        <w:rPr>
          <w:b/>
          <w:noProof/>
        </w:rPr>
        <w:t>1.4.</w:t>
      </w:r>
      <w:r>
        <w:t xml:space="preserve"> Площадки для теплиц и парников должны быть спланированы с уклоном для отвода атмосферных вод от сооружений. Отметка почвы в сооружениях должна быть выше планировочной отметки примыкающих к ним участков площадки не менее чем на</w:t>
      </w:r>
      <w:r>
        <w:rPr>
          <w:noProof/>
        </w:rPr>
        <w:t xml:space="preserve"> 0,1</w:t>
      </w:r>
      <w:r>
        <w:t xml:space="preserve"> м.</w:t>
      </w:r>
    </w:p>
    <w:p w:rsidR="00000000" w:rsidRDefault="007B7584">
      <w:pPr>
        <w:ind w:firstLine="284"/>
        <w:jc w:val="both"/>
      </w:pPr>
      <w:r>
        <w:rPr>
          <w:b/>
          <w:noProof/>
        </w:rPr>
        <w:t>1.5.</w:t>
      </w:r>
      <w:r>
        <w:t xml:space="preserve"> При проектировании теплиц в районах с объемом </w:t>
      </w:r>
      <w:bookmarkStart w:id="15" w:name="OCRUncertain016"/>
      <w:r>
        <w:t>снегопереноса</w:t>
      </w:r>
      <w:bookmarkEnd w:id="15"/>
      <w:r>
        <w:t xml:space="preserve"> за зиму свыше</w:t>
      </w:r>
      <w:r>
        <w:rPr>
          <w:noProof/>
        </w:rPr>
        <w:t xml:space="preserve"> 200</w:t>
      </w:r>
      <w:r>
        <w:t xml:space="preserve"> </w:t>
      </w:r>
      <w:bookmarkStart w:id="16" w:name="OCRUncertain017"/>
      <w:r>
        <w:t>м</w:t>
      </w:r>
      <w:r>
        <w:rPr>
          <w:vertAlign w:val="superscript"/>
        </w:rPr>
        <w:t>3</w:t>
      </w:r>
      <w:r>
        <w:t>/м,</w:t>
      </w:r>
      <w:bookmarkEnd w:id="16"/>
      <w:r>
        <w:t xml:space="preserve"> необходимо предусматривать искусственные снегозащитные мероприятия и устройства (при отсутствии естественных)</w:t>
      </w:r>
      <w:bookmarkStart w:id="17" w:name="OCRUncertain018"/>
      <w:r>
        <w:rPr>
          <w:noProof/>
        </w:rPr>
        <w:t>,</w:t>
      </w:r>
      <w:bookmarkEnd w:id="17"/>
      <w:r>
        <w:t xml:space="preserve"> сов</w:t>
      </w:r>
      <w:r>
        <w:t>мещая их функцию с ветрозащитой и ограждением территории.</w:t>
      </w:r>
    </w:p>
    <w:p w:rsidR="00000000" w:rsidRDefault="007B7584">
      <w:pPr>
        <w:ind w:firstLine="284"/>
        <w:jc w:val="both"/>
      </w:pPr>
      <w:r>
        <w:t>В качестве снегозащитных устройств следует предусматривать лесонасаждения, щиты и заборы.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1.6.</w:t>
      </w:r>
      <w:r>
        <w:t xml:space="preserve"> Обеспечение доступности зданий теплиц и парников и входящих в их состав помещений для инвалидов, если для них предусматриваются рабочие места, следует выполнять в соответствии с требованиями, изложенными в СНиП 2.09.02-85*; санитарно-бытовое обслуживание работающих инвалидов - в соответствии со СНиП 2.09.04-87*.</w:t>
      </w:r>
    </w:p>
    <w:p w:rsidR="00000000" w:rsidRDefault="007B7584">
      <w:pPr>
        <w:ind w:firstLine="284"/>
        <w:jc w:val="both"/>
      </w:pPr>
      <w:r>
        <w:t>Квота рабоч</w:t>
      </w:r>
      <w:r>
        <w:t>их мест для инвалидов, виды и группы инвалидности работников, для которых могут быть организованы рабочие места в теплицах, парниках и относящихся к ним вспомогательным помещениям, устанавливаются в здании на проектирование с участием территориальных органов социальной защиты населения в соответствии с правилами, установленными в РДС 35-201-99 Госстроя России и Минтруда России "Порядок реализации требований доступности для инвалидов к объектам социальной инфраструктуры".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  <w:rPr>
          <w:b/>
        </w:rPr>
      </w:pPr>
      <w:r>
        <w:rPr>
          <w:b/>
        </w:rPr>
        <w:t>(Введен дополнительно, Изм. № 1)</w:t>
      </w:r>
    </w:p>
    <w:p w:rsidR="00000000" w:rsidRDefault="007B7584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4508"/>
        <w:gridCol w:w="17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000000" w:rsidRDefault="007B7584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</w:rPr>
              <w:t>нес</w:t>
            </w:r>
            <w:bookmarkStart w:id="18" w:name="OCRUncertain038"/>
            <w:r>
              <w:rPr>
                <w:b/>
              </w:rPr>
              <w:t>е</w:t>
            </w:r>
            <w:bookmarkEnd w:id="18"/>
            <w:r>
              <w:rPr>
                <w:b/>
              </w:rPr>
              <w:t xml:space="preserve">ны </w:t>
            </w:r>
            <w:bookmarkStart w:id="19" w:name="OCRUncertain039"/>
            <w:r>
              <w:rPr>
                <w:b/>
              </w:rPr>
              <w:t>Минплодоовощхозом</w:t>
            </w:r>
            <w:bookmarkEnd w:id="19"/>
            <w:r>
              <w:rPr>
                <w:b/>
              </w:rPr>
              <w:t xml:space="preserve"> СССР</w:t>
            </w:r>
          </w:p>
        </w:tc>
        <w:tc>
          <w:tcPr>
            <w:tcW w:w="4508" w:type="dxa"/>
          </w:tcPr>
          <w:p w:rsidR="00000000" w:rsidRDefault="007B7584">
            <w:pPr>
              <w:jc w:val="center"/>
              <w:rPr>
                <w:b/>
                <w:noProof/>
              </w:rPr>
            </w:pPr>
            <w:r>
              <w:rPr>
                <w:b/>
              </w:rPr>
              <w:t>Ут</w:t>
            </w:r>
            <w:bookmarkStart w:id="20" w:name="OCRUncertain040"/>
            <w:r>
              <w:rPr>
                <w:b/>
              </w:rPr>
              <w:t>ве</w:t>
            </w:r>
            <w:bookmarkEnd w:id="20"/>
            <w:r>
              <w:rPr>
                <w:b/>
              </w:rPr>
              <w:t>ржд</w:t>
            </w:r>
            <w:bookmarkStart w:id="21" w:name="OCRUncertain041"/>
            <w:r>
              <w:rPr>
                <w:b/>
              </w:rPr>
              <w:t>е</w:t>
            </w:r>
            <w:bookmarkEnd w:id="21"/>
            <w:r>
              <w:rPr>
                <w:b/>
              </w:rPr>
              <w:t>ны постановл</w:t>
            </w:r>
            <w:bookmarkStart w:id="22" w:name="OCRUncertain042"/>
            <w:r>
              <w:rPr>
                <w:b/>
              </w:rPr>
              <w:t>е</w:t>
            </w:r>
            <w:bookmarkEnd w:id="22"/>
            <w:r>
              <w:rPr>
                <w:b/>
              </w:rPr>
              <w:t>ни</w:t>
            </w:r>
            <w:bookmarkStart w:id="23" w:name="OCRUncertain043"/>
            <w:r>
              <w:rPr>
                <w:b/>
              </w:rPr>
              <w:t>е</w:t>
            </w:r>
            <w:bookmarkEnd w:id="23"/>
            <w:r>
              <w:rPr>
                <w:b/>
              </w:rPr>
              <w:t>м Государств</w:t>
            </w:r>
            <w:bookmarkStart w:id="24" w:name="OCRUncertain044"/>
            <w:r>
              <w:rPr>
                <w:b/>
              </w:rPr>
              <w:t>е</w:t>
            </w:r>
            <w:bookmarkEnd w:id="24"/>
            <w:r>
              <w:rPr>
                <w:b/>
              </w:rPr>
              <w:t>нного комит</w:t>
            </w:r>
            <w:bookmarkStart w:id="25" w:name="OCRUncertain045"/>
            <w:r>
              <w:rPr>
                <w:b/>
              </w:rPr>
              <w:t>е</w:t>
            </w:r>
            <w:bookmarkEnd w:id="25"/>
            <w:r>
              <w:rPr>
                <w:b/>
              </w:rPr>
              <w:t>та СССР по д</w:t>
            </w:r>
            <w:bookmarkStart w:id="26" w:name="OCRUncertain046"/>
            <w:r>
              <w:rPr>
                <w:b/>
              </w:rPr>
              <w:t>е</w:t>
            </w:r>
            <w:bookmarkEnd w:id="26"/>
            <w:r>
              <w:rPr>
                <w:b/>
              </w:rPr>
              <w:t>лам строит</w:t>
            </w:r>
            <w:bookmarkStart w:id="27" w:name="OCRUncertain047"/>
            <w:r>
              <w:rPr>
                <w:b/>
              </w:rPr>
              <w:t>е</w:t>
            </w:r>
            <w:bookmarkEnd w:id="27"/>
            <w:r>
              <w:rPr>
                <w:b/>
              </w:rPr>
              <w:t>льства от</w:t>
            </w:r>
            <w:r>
              <w:rPr>
                <w:b/>
                <w:noProof/>
              </w:rPr>
              <w:t xml:space="preserve"> 9</w:t>
            </w:r>
            <w:r>
              <w:rPr>
                <w:b/>
              </w:rPr>
              <w:t xml:space="preserve"> июля</w:t>
            </w:r>
            <w:r>
              <w:rPr>
                <w:b/>
                <w:noProof/>
              </w:rPr>
              <w:t xml:space="preserve"> 1985</w:t>
            </w:r>
            <w:r>
              <w:rPr>
                <w:b/>
              </w:rPr>
              <w:t xml:space="preserve"> г.</w:t>
            </w:r>
            <w:r>
              <w:rPr>
                <w:b/>
                <w:noProof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noProof/>
              </w:rPr>
              <w:t>113</w:t>
            </w:r>
          </w:p>
        </w:tc>
        <w:tc>
          <w:tcPr>
            <w:tcW w:w="1718" w:type="dxa"/>
          </w:tcPr>
          <w:p w:rsidR="00000000" w:rsidRDefault="007B7584">
            <w:pPr>
              <w:jc w:val="center"/>
              <w:rPr>
                <w:b/>
              </w:rPr>
            </w:pPr>
            <w:r>
              <w:rPr>
                <w:b/>
              </w:rPr>
              <w:t>Срок вв</w:t>
            </w:r>
            <w:bookmarkStart w:id="28" w:name="OCRUncertain049"/>
            <w:r>
              <w:rPr>
                <w:b/>
              </w:rPr>
              <w:t>е</w:t>
            </w:r>
            <w:bookmarkEnd w:id="28"/>
            <w:r>
              <w:rPr>
                <w:b/>
              </w:rPr>
              <w:t>д</w:t>
            </w:r>
            <w:bookmarkStart w:id="29" w:name="OCRUncertain050"/>
            <w:r>
              <w:rPr>
                <w:b/>
              </w:rPr>
              <w:t>е</w:t>
            </w:r>
            <w:bookmarkEnd w:id="29"/>
            <w:r>
              <w:rPr>
                <w:b/>
              </w:rPr>
              <w:t>ния в д</w:t>
            </w:r>
            <w:bookmarkStart w:id="30" w:name="OCRUncertain051"/>
            <w:r>
              <w:rPr>
                <w:b/>
              </w:rPr>
              <w:t>е</w:t>
            </w:r>
            <w:bookmarkEnd w:id="30"/>
            <w:r>
              <w:rPr>
                <w:b/>
              </w:rPr>
              <w:t xml:space="preserve">йствие </w:t>
            </w:r>
            <w:r>
              <w:rPr>
                <w:b/>
                <w:noProof/>
              </w:rPr>
              <w:t>1</w:t>
            </w:r>
            <w:r>
              <w:rPr>
                <w:b/>
              </w:rPr>
              <w:t xml:space="preserve"> января</w:t>
            </w:r>
            <w:r>
              <w:rPr>
                <w:b/>
                <w:noProof/>
              </w:rPr>
              <w:t xml:space="preserve"> 198</w:t>
            </w:r>
            <w:bookmarkStart w:id="31" w:name="OCRUncertain052"/>
            <w:r>
              <w:rPr>
                <w:b/>
                <w:noProof/>
              </w:rPr>
              <w:t>6</w:t>
            </w:r>
            <w:bookmarkEnd w:id="31"/>
            <w:r>
              <w:rPr>
                <w:b/>
              </w:rPr>
              <w:t xml:space="preserve"> г.</w:t>
            </w:r>
          </w:p>
        </w:tc>
      </w:tr>
    </w:tbl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ОБЪЕМНО-ПЛАНИРОВОЧНЫЕ И КОНСТРУКТИВНЫЕ РЕШЕНИЯ</w:t>
      </w:r>
    </w:p>
    <w:p w:rsidR="00000000" w:rsidRDefault="007B7584">
      <w:pPr>
        <w:ind w:firstLine="284"/>
        <w:jc w:val="both"/>
        <w:rPr>
          <w:b/>
        </w:rPr>
      </w:pPr>
    </w:p>
    <w:p w:rsidR="00000000" w:rsidRDefault="007B7584">
      <w:pPr>
        <w:ind w:firstLine="284"/>
        <w:jc w:val="both"/>
      </w:pPr>
      <w:r>
        <w:rPr>
          <w:b/>
          <w:noProof/>
        </w:rPr>
        <w:t>2.1.</w:t>
      </w:r>
      <w:r>
        <w:t xml:space="preserve"> Объемно-планировочные решения теплиц должны отвечать требованиям норм технологического проектирования, утвержденных в установленном порядке и обеспечивать экономию топливно-энергетических ресурсов за счет теплоизоляции ограждений и снижения их относительной площади.</w:t>
      </w:r>
    </w:p>
    <w:p w:rsidR="00000000" w:rsidRDefault="007B7584">
      <w:pPr>
        <w:ind w:firstLine="284"/>
        <w:jc w:val="both"/>
      </w:pPr>
      <w:r>
        <w:t>Теплицы след</w:t>
      </w:r>
      <w:r>
        <w:t>ует проектировать однопролетными или многопролетными. Тип теплиц для каждой зоны определяется технико-экономическим обоснованием.</w:t>
      </w:r>
    </w:p>
    <w:p w:rsidR="00000000" w:rsidRDefault="007B7584">
      <w:pPr>
        <w:ind w:firstLine="284"/>
        <w:jc w:val="both"/>
      </w:pPr>
      <w:r>
        <w:lastRenderedPageBreak/>
        <w:t>Парники следует проектировать с односкатным или двускатным покрытием.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2.2.</w:t>
      </w:r>
      <w:r>
        <w:t xml:space="preserve"> Вспомогательные помещения для работающих в теплицах и парниках следует проектировать в соответствии с требованиями СНиП</w:t>
      </w:r>
      <w:r>
        <w:rPr>
          <w:noProof/>
        </w:rPr>
        <w:t xml:space="preserve"> </w:t>
      </w:r>
      <w:r>
        <w:t>2.09.04-87*</w:t>
      </w:r>
      <w:r>
        <w:rPr>
          <w:noProof/>
        </w:rPr>
        <w:t>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2.3.</w:t>
      </w:r>
      <w:r>
        <w:t xml:space="preserve"> Геометрические параметры теплиц и парников должны назначаться в соответствии с технологической частью</w:t>
      </w:r>
      <w:r>
        <w:t xml:space="preserve"> проекта. При этом пролеты однопролетных теплиц не должны превышать</w:t>
      </w:r>
      <w:r>
        <w:rPr>
          <w:noProof/>
        </w:rPr>
        <w:t xml:space="preserve"> 18</w:t>
      </w:r>
      <w:r>
        <w:t xml:space="preserve"> м, многопролетных</w:t>
      </w:r>
      <w:r>
        <w:rPr>
          <w:noProof/>
        </w:rPr>
        <w:t xml:space="preserve"> — 9</w:t>
      </w:r>
      <w:r>
        <w:t xml:space="preserve"> м; высота от отметки поверхности пола или почвы до низа конструкций теплиц или подвешенного оборудования и коммуникаций должна назначаться из условия свободного проезда предусмотренных технологией машин и механизмов, но не менее</w:t>
      </w:r>
      <w:r>
        <w:rPr>
          <w:noProof/>
        </w:rPr>
        <w:t xml:space="preserve"> 2,2</w:t>
      </w:r>
      <w:r>
        <w:t xml:space="preserve"> м.</w:t>
      </w:r>
    </w:p>
    <w:p w:rsidR="00000000" w:rsidRDefault="007B7584">
      <w:pPr>
        <w:ind w:firstLine="284"/>
        <w:jc w:val="both"/>
      </w:pPr>
      <w:r>
        <w:t>Пролет парников должен быть не менее</w:t>
      </w:r>
      <w:r>
        <w:rPr>
          <w:noProof/>
        </w:rPr>
        <w:t xml:space="preserve"> 1,5</w:t>
      </w:r>
      <w:r>
        <w:t xml:space="preserve"> м. </w:t>
      </w:r>
    </w:p>
    <w:p w:rsidR="00000000" w:rsidRDefault="007B7584">
      <w:pPr>
        <w:ind w:firstLine="284"/>
        <w:jc w:val="both"/>
      </w:pPr>
      <w:r>
        <w:rPr>
          <w:b/>
          <w:noProof/>
        </w:rPr>
        <w:t>2.4.</w:t>
      </w:r>
      <w:r>
        <w:rPr>
          <w:b/>
        </w:rPr>
        <w:t xml:space="preserve"> </w:t>
      </w:r>
      <w:r>
        <w:t>Теплицы следует проектировать с дер</w:t>
      </w:r>
      <w:bookmarkStart w:id="32" w:name="OCRUncertain024"/>
      <w:r>
        <w:t>е</w:t>
      </w:r>
      <w:bookmarkEnd w:id="32"/>
      <w:r>
        <w:t xml:space="preserve">вянным или металлическим каркасом в соответствии с требованиями СНиП </w:t>
      </w:r>
      <w:r>
        <w:rPr>
          <w:lang w:val="en-US"/>
        </w:rPr>
        <w:t>II-25-80</w:t>
      </w:r>
      <w:r>
        <w:t>, СНиП</w:t>
      </w:r>
      <w:r>
        <w:rPr>
          <w:lang w:val="en-US"/>
        </w:rPr>
        <w:t xml:space="preserve"> II-23-81*</w:t>
      </w:r>
      <w:r>
        <w:t xml:space="preserve"> и С</w:t>
      </w:r>
      <w:r>
        <w:t>НиП</w:t>
      </w:r>
      <w:r>
        <w:rPr>
          <w:lang w:val="en-US"/>
        </w:rPr>
        <w:t xml:space="preserve"> 2.03.06-85</w:t>
      </w:r>
      <w:r>
        <w:rPr>
          <w:noProof/>
        </w:rPr>
        <w:t>.</w:t>
      </w:r>
      <w:r>
        <w:t xml:space="preserve"> Парники необходимо проектировать с деревянным или железобетонным каркасом.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2.5.</w:t>
      </w:r>
      <w:r>
        <w:t xml:space="preserve"> </w:t>
      </w:r>
      <w:bookmarkStart w:id="33" w:name="OCRUncertain030"/>
      <w:r>
        <w:t>Светопрозрачные</w:t>
      </w:r>
      <w:bookmarkEnd w:id="33"/>
      <w:r>
        <w:t xml:space="preserve"> ограждения зимних теплиц следует проектировать из стекла или пленки, как правило, двухслойными или </w:t>
      </w:r>
      <w:bookmarkStart w:id="34" w:name="OCRUncertain031"/>
      <w:r>
        <w:t>однослойными</w:t>
      </w:r>
      <w:bookmarkEnd w:id="34"/>
      <w:r>
        <w:t xml:space="preserve"> с дополнительной трансформир</w:t>
      </w:r>
      <w:bookmarkStart w:id="35" w:name="OCRUncertain032"/>
      <w:r>
        <w:t>у</w:t>
      </w:r>
      <w:bookmarkEnd w:id="35"/>
      <w:r>
        <w:t>ющейся шторой или теплозащитным экраном, а весенних теплиц</w:t>
      </w:r>
      <w:r>
        <w:rPr>
          <w:noProof/>
        </w:rPr>
        <w:t xml:space="preserve"> -</w:t>
      </w:r>
      <w:r>
        <w:t xml:space="preserve"> из пленки. снимаемой на зимний период.</w:t>
      </w:r>
    </w:p>
    <w:p w:rsidR="00000000" w:rsidRDefault="007B7584">
      <w:pPr>
        <w:ind w:firstLine="284"/>
        <w:jc w:val="both"/>
      </w:pPr>
      <w:r>
        <w:rPr>
          <w:b/>
          <w:noProof/>
        </w:rPr>
        <w:t>2.6.</w:t>
      </w:r>
      <w:r>
        <w:t xml:space="preserve"> Высота цоколя теплиц должна быть не менее</w:t>
      </w:r>
      <w:r>
        <w:rPr>
          <w:noProof/>
        </w:rPr>
        <w:t xml:space="preserve"> 0,3</w:t>
      </w:r>
      <w:r>
        <w:t xml:space="preserve"> м.</w:t>
      </w:r>
    </w:p>
    <w:p w:rsidR="00000000" w:rsidRDefault="007B7584">
      <w:pPr>
        <w:ind w:firstLine="284"/>
        <w:jc w:val="both"/>
      </w:pPr>
      <w:r>
        <w:t xml:space="preserve">В стенах теплиц, предназначенных для выращивания рассады, высаживаемой </w:t>
      </w:r>
      <w:r>
        <w:t>в открытый грунт, необходимо   предусматривать   вентиляционные проемы.</w:t>
      </w:r>
    </w:p>
    <w:p w:rsidR="00000000" w:rsidRDefault="007B7584">
      <w:pPr>
        <w:ind w:firstLine="284"/>
        <w:jc w:val="both"/>
      </w:pPr>
      <w:r>
        <w:rPr>
          <w:b/>
          <w:noProof/>
        </w:rPr>
        <w:t>2.7.</w:t>
      </w:r>
      <w:r>
        <w:t xml:space="preserve"> Отметка верха фундаментов под опоры (стойки каркаса) теплиц должна быть выш</w:t>
      </w:r>
      <w:bookmarkStart w:id="36" w:name="OCRUncertain034"/>
      <w:r>
        <w:t>е</w:t>
      </w:r>
      <w:bookmarkEnd w:id="36"/>
      <w:r>
        <w:t xml:space="preserve"> отметки поверхности почвы не менее чем на</w:t>
      </w:r>
      <w:r>
        <w:rPr>
          <w:noProof/>
        </w:rPr>
        <w:t xml:space="preserve"> 0,3</w:t>
      </w:r>
      <w:r>
        <w:t xml:space="preserve"> м. При расположении многопролетных теплиц на наклонных площадках отметки верха отдельных фундаментов допускается назначать переменными с уклоном теплиц по рельефу местности, но не более:</w:t>
      </w:r>
    </w:p>
    <w:p w:rsidR="00000000" w:rsidRDefault="007B7584">
      <w:pPr>
        <w:ind w:firstLine="284"/>
        <w:jc w:val="both"/>
      </w:pPr>
      <w:r>
        <w:t>остекленных: вдоль коньков (лотков)</w:t>
      </w:r>
      <w:r>
        <w:rPr>
          <w:noProof/>
        </w:rPr>
        <w:t xml:space="preserve"> —2%,</w:t>
      </w:r>
      <w:r>
        <w:t xml:space="preserve"> поперек коньков (лотков)</w:t>
      </w:r>
      <w:r>
        <w:rPr>
          <w:noProof/>
        </w:rPr>
        <w:t xml:space="preserve"> —1,5%; </w:t>
      </w:r>
      <w:r>
        <w:t>пленочных</w:t>
      </w:r>
      <w:r>
        <w:rPr>
          <w:noProof/>
        </w:rPr>
        <w:t xml:space="preserve"> - 3 %</w:t>
      </w:r>
      <w:r>
        <w:t xml:space="preserve"> в обоих направлениях. </w:t>
      </w:r>
    </w:p>
    <w:p w:rsidR="00000000" w:rsidRDefault="007B7584">
      <w:pPr>
        <w:ind w:firstLine="284"/>
        <w:jc w:val="both"/>
        <w:rPr>
          <w:i/>
          <w:noProof/>
        </w:rPr>
      </w:pPr>
      <w:r>
        <w:rPr>
          <w:b/>
          <w:noProof/>
        </w:rPr>
        <w:t>2.8.</w:t>
      </w:r>
      <w:r>
        <w:t xml:space="preserve"> Уклон пр</w:t>
      </w:r>
      <w:r>
        <w:t>ямолинейных скатов покрытий теплиц надлежит принимать не менее</w:t>
      </w:r>
      <w:r>
        <w:rPr>
          <w:noProof/>
        </w:rPr>
        <w:t xml:space="preserve"> 45 </w:t>
      </w:r>
      <w:bookmarkStart w:id="37" w:name="OCRUncertain035"/>
      <w:r>
        <w:rPr>
          <w:i/>
          <w:noProof/>
        </w:rPr>
        <w:t>%,</w:t>
      </w:r>
      <w:bookmarkEnd w:id="37"/>
      <w:r>
        <w:t xml:space="preserve"> криволинейных, стрельчатого очертания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20 </w:t>
      </w:r>
      <w:bookmarkStart w:id="38" w:name="OCRUncertain036"/>
      <w:r>
        <w:rPr>
          <w:i/>
          <w:noProof/>
        </w:rPr>
        <w:t>%.</w:t>
      </w:r>
      <w:bookmarkEnd w:id="38"/>
    </w:p>
    <w:p w:rsidR="00000000" w:rsidRDefault="007B7584">
      <w:pPr>
        <w:ind w:firstLine="284"/>
        <w:jc w:val="both"/>
      </w:pPr>
      <w:r>
        <w:t xml:space="preserve">В многопролетных теплицах ендовы необходимо проектировать в виде лотков с уклоном не менее </w:t>
      </w:r>
      <w:r>
        <w:rPr>
          <w:noProof/>
        </w:rPr>
        <w:t xml:space="preserve">0,2 </w:t>
      </w:r>
      <w:r>
        <w:rPr>
          <w:i/>
          <w:noProof/>
        </w:rPr>
        <w:t>%</w:t>
      </w:r>
      <w:r>
        <w:t xml:space="preserve"> и шириной не менее</w:t>
      </w:r>
      <w:r>
        <w:rPr>
          <w:noProof/>
        </w:rPr>
        <w:t xml:space="preserve"> 0,2</w:t>
      </w:r>
      <w:r>
        <w:t xml:space="preserve"> м.</w:t>
      </w:r>
    </w:p>
    <w:p w:rsidR="00000000" w:rsidRDefault="007B7584">
      <w:pPr>
        <w:ind w:firstLine="284"/>
        <w:jc w:val="both"/>
      </w:pPr>
      <w:r>
        <w:t>Уклон покрытия парников должен быть не менее</w:t>
      </w:r>
      <w:r>
        <w:rPr>
          <w:noProof/>
        </w:rPr>
        <w:t xml:space="preserve"> 6 </w:t>
      </w:r>
      <w:bookmarkStart w:id="39" w:name="OCRUncertain037"/>
      <w:r>
        <w:rPr>
          <w:noProof/>
        </w:rPr>
        <w:t>%.</w:t>
      </w:r>
      <w:bookmarkEnd w:id="39"/>
    </w:p>
    <w:p w:rsidR="00000000" w:rsidRDefault="007B7584">
      <w:pPr>
        <w:ind w:firstLine="284"/>
        <w:jc w:val="both"/>
      </w:pPr>
      <w:r>
        <w:rPr>
          <w:b/>
          <w:noProof/>
        </w:rPr>
        <w:t>2.9.</w:t>
      </w:r>
      <w:r>
        <w:t xml:space="preserve"> Суммарная площадь светонепроницаемых конструкций теплиц должна составлять не более </w:t>
      </w:r>
      <w:r>
        <w:rPr>
          <w:noProof/>
        </w:rPr>
        <w:t>15%</w:t>
      </w:r>
      <w:r>
        <w:t xml:space="preserve"> общей площади при </w:t>
      </w:r>
      <w:bookmarkStart w:id="40" w:name="OCRUncertain053"/>
      <w:r>
        <w:t>светопрозрачном</w:t>
      </w:r>
      <w:bookmarkEnd w:id="40"/>
      <w:r>
        <w:t xml:space="preserve"> ограждении из стекла и</w:t>
      </w:r>
      <w:r>
        <w:rPr>
          <w:noProof/>
        </w:rPr>
        <w:t xml:space="preserve"> 10</w:t>
      </w:r>
      <w:bookmarkStart w:id="41" w:name="OCRUncertain054"/>
      <w:r>
        <w:rPr>
          <w:noProof/>
        </w:rPr>
        <w:t>%—</w:t>
      </w:r>
      <w:bookmarkEnd w:id="41"/>
      <w:r>
        <w:t xml:space="preserve"> при ограждении из пленки.</w:t>
      </w:r>
    </w:p>
    <w:p w:rsidR="00000000" w:rsidRDefault="007B7584">
      <w:pPr>
        <w:ind w:firstLine="284"/>
        <w:jc w:val="both"/>
      </w:pPr>
      <w:r>
        <w:rPr>
          <w:b/>
          <w:noProof/>
        </w:rPr>
        <w:t>2.10.</w:t>
      </w:r>
      <w:r>
        <w:t xml:space="preserve"> Для крепления стекла к </w:t>
      </w:r>
      <w:bookmarkStart w:id="42" w:name="OCRUncertain055"/>
      <w:r>
        <w:t>шпроса</w:t>
      </w:r>
      <w:r>
        <w:t>м</w:t>
      </w:r>
      <w:bookmarkEnd w:id="42"/>
      <w:r>
        <w:t xml:space="preserve"> должны применяться специальные зажимы </w:t>
      </w:r>
      <w:bookmarkStart w:id="43" w:name="OCRUncertain056"/>
      <w:r>
        <w:t>(кляммеры,</w:t>
      </w:r>
      <w:bookmarkStart w:id="44" w:name="OCRUncertain057"/>
      <w:bookmarkEnd w:id="43"/>
      <w:r>
        <w:t xml:space="preserve"> профильные элементы и др.),д</w:t>
      </w:r>
      <w:bookmarkEnd w:id="44"/>
      <w:r>
        <w:t>ля герметизации стыков стеклянных ограждений (в местах сопряжени</w:t>
      </w:r>
      <w:bookmarkStart w:id="45" w:name="OCRUncertain058"/>
      <w:r>
        <w:t>я</w:t>
      </w:r>
      <w:bookmarkEnd w:id="45"/>
      <w:r>
        <w:t xml:space="preserve"> со </w:t>
      </w:r>
      <w:bookmarkStart w:id="46" w:name="OCRUncertain059"/>
      <w:r>
        <w:t>шпросами</w:t>
      </w:r>
      <w:bookmarkEnd w:id="46"/>
      <w:r>
        <w:t xml:space="preserve"> в горизонтальных стыках)</w:t>
      </w:r>
      <w:r>
        <w:rPr>
          <w:noProof/>
        </w:rPr>
        <w:t xml:space="preserve"> —</w:t>
      </w:r>
      <w:r>
        <w:t xml:space="preserve"> прокладки или специальные эластичные мастики, обеспечивающие воздухо- и </w:t>
      </w:r>
      <w:bookmarkStart w:id="47" w:name="OCRUncertain061"/>
      <w:r>
        <w:t>влагонепроницаемость.</w:t>
      </w:r>
      <w:bookmarkEnd w:id="47"/>
    </w:p>
    <w:p w:rsidR="00000000" w:rsidRDefault="007B7584">
      <w:pPr>
        <w:ind w:firstLine="284"/>
        <w:jc w:val="both"/>
      </w:pPr>
      <w:r>
        <w:rPr>
          <w:b/>
          <w:noProof/>
        </w:rPr>
        <w:t>2.11.</w:t>
      </w:r>
      <w:r>
        <w:t xml:space="preserve"> Антикоррозионную защиту строительных конструкций и изделий следует назначать в соответствии с требованиями </w:t>
      </w:r>
      <w:bookmarkStart w:id="48" w:name="OCRUncertain062"/>
      <w:r>
        <w:t>СНиП</w:t>
      </w:r>
      <w:bookmarkEnd w:id="48"/>
      <w:r>
        <w:rPr>
          <w:noProof/>
        </w:rPr>
        <w:t xml:space="preserve"> 2.03.11-85,</w:t>
      </w:r>
      <w:r>
        <w:t xml:space="preserve"> при этом среду внутри теплиц по степени агрессивного воздействия следует относить для стальных конструкц</w:t>
      </w:r>
      <w:r>
        <w:t>ий</w:t>
      </w:r>
      <w:r>
        <w:rPr>
          <w:noProof/>
        </w:rPr>
        <w:t xml:space="preserve"> —</w:t>
      </w:r>
      <w:r>
        <w:t xml:space="preserve"> к слабоагрессивной, для алюминиевых и деревянных</w:t>
      </w:r>
      <w:r>
        <w:rPr>
          <w:noProof/>
        </w:rPr>
        <w:t xml:space="preserve"> —</w:t>
      </w:r>
      <w:r>
        <w:t xml:space="preserve"> к неагрессивной.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2.</w:t>
      </w:r>
      <w:bookmarkStart w:id="49" w:name="OCRUncertain063"/>
      <w:r>
        <w:rPr>
          <w:b/>
          <w:noProof/>
        </w:rPr>
        <w:t>1</w:t>
      </w:r>
      <w:bookmarkEnd w:id="49"/>
      <w:r>
        <w:rPr>
          <w:b/>
          <w:noProof/>
        </w:rPr>
        <w:t>2.</w:t>
      </w:r>
      <w:r>
        <w:t xml:space="preserve"> Нагрузки на строительные конструкции теплиц и парников следует принимать в соответствии с указаниями СНиП</w:t>
      </w:r>
      <w:r>
        <w:rPr>
          <w:noProof/>
        </w:rPr>
        <w:t xml:space="preserve"> 2.01.07-85,</w:t>
      </w:r>
      <w:r>
        <w:t xml:space="preserve"> учитыва</w:t>
      </w:r>
      <w:bookmarkStart w:id="50" w:name="OCRUncertain064"/>
      <w:r>
        <w:t>я</w:t>
      </w:r>
      <w:bookmarkEnd w:id="50"/>
      <w:r>
        <w:t xml:space="preserve"> следующие требования</w:t>
      </w:r>
      <w:bookmarkStart w:id="51" w:name="OCRUncertain065"/>
      <w:r>
        <w:rPr>
          <w:noProof/>
        </w:rPr>
        <w:t>:</w:t>
      </w:r>
      <w:bookmarkEnd w:id="51"/>
    </w:p>
    <w:p w:rsidR="00000000" w:rsidRDefault="007B7584">
      <w:pPr>
        <w:ind w:firstLine="284"/>
        <w:jc w:val="both"/>
        <w:rPr>
          <w:noProof/>
        </w:rPr>
      </w:pPr>
      <w:r>
        <w:t>а) вес снегового покрова на</w:t>
      </w:r>
      <w:r>
        <w:rPr>
          <w:noProof/>
        </w:rPr>
        <w:t xml:space="preserve"> 1</w:t>
      </w:r>
      <w:r>
        <w:t xml:space="preserve"> </w:t>
      </w:r>
      <w:bookmarkStart w:id="52" w:name="OCRUncertain066"/>
      <w:r>
        <w:t>м</w:t>
      </w:r>
      <w:bookmarkEnd w:id="52"/>
      <w:r>
        <w:rPr>
          <w:vertAlign w:val="superscript"/>
        </w:rPr>
        <w:t>2</w:t>
      </w:r>
      <w:r>
        <w:t xml:space="preserve"> горизонтальной поверхности земли при проектировании зимних теплиц с </w:t>
      </w:r>
      <w:bookmarkStart w:id="53" w:name="OCRUncertain067"/>
      <w:r>
        <w:t>однослойными</w:t>
      </w:r>
      <w:bookmarkEnd w:id="53"/>
      <w:r>
        <w:t xml:space="preserve"> ограждениями, с двухслойными ограждениями при подаче теплоносителя между слоями, а также однопролетных пленочных теплиц с двухслойным ограждением следует принимать для ра</w:t>
      </w:r>
      <w:r>
        <w:t>йонов: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 xml:space="preserve"> - 100</w:t>
      </w:r>
      <w:r>
        <w:t xml:space="preserve"> Па</w:t>
      </w:r>
      <w:r>
        <w:rPr>
          <w:noProof/>
        </w:rPr>
        <w:t xml:space="preserve"> (10</w:t>
      </w:r>
      <w:r>
        <w:t xml:space="preserve"> </w:t>
      </w:r>
      <w:bookmarkStart w:id="54" w:name="OCRUncertain068"/>
      <w:r>
        <w:t>кгс/м</w:t>
      </w:r>
      <w:r>
        <w:rPr>
          <w:vertAlign w:val="superscript"/>
          <w:lang w:val="en-US"/>
        </w:rPr>
        <w:t>2</w:t>
      </w:r>
      <w:r>
        <w:t>),</w:t>
      </w:r>
      <w:bookmarkEnd w:id="54"/>
      <w:r>
        <w:rPr>
          <w:noProof/>
        </w:rPr>
        <w:t xml:space="preserve"> II - 150</w:t>
      </w:r>
      <w:r>
        <w:t xml:space="preserve"> Па </w:t>
      </w:r>
      <w:r>
        <w:rPr>
          <w:noProof/>
        </w:rPr>
        <w:t>(15</w:t>
      </w:r>
      <w:r>
        <w:t xml:space="preserve"> </w:t>
      </w:r>
      <w:bookmarkStart w:id="55" w:name="OCRUncertain069"/>
      <w:r>
        <w:t>кгс/м</w:t>
      </w:r>
      <w:bookmarkEnd w:id="55"/>
      <w:r>
        <w:rPr>
          <w:vertAlign w:val="superscript"/>
          <w:lang w:val="en-US"/>
        </w:rPr>
        <w:t>2</w:t>
      </w:r>
      <w:r>
        <w:rPr>
          <w:noProof/>
        </w:rPr>
        <w:t xml:space="preserve"> </w:t>
      </w:r>
      <w:bookmarkStart w:id="56" w:name="OCRUncertain070"/>
      <w:r>
        <w:rPr>
          <w:noProof/>
        </w:rPr>
        <w:t>)</w:t>
      </w:r>
      <w:bookmarkEnd w:id="56"/>
      <w:r>
        <w:rPr>
          <w:noProof/>
        </w:rPr>
        <w:t xml:space="preserve"> </w:t>
      </w:r>
      <w:bookmarkStart w:id="57" w:name="OCRUncertain071"/>
      <w:r>
        <w:rPr>
          <w:noProof/>
        </w:rPr>
        <w:t>,</w:t>
      </w:r>
      <w:bookmarkEnd w:id="57"/>
      <w:r>
        <w:rPr>
          <w:lang w:val="en-US"/>
        </w:rPr>
        <w:t xml:space="preserve"> III</w:t>
      </w:r>
      <w:r>
        <w:rPr>
          <w:noProof/>
        </w:rPr>
        <w:t xml:space="preserve"> - 200</w:t>
      </w:r>
      <w:r>
        <w:t xml:space="preserve"> Па</w:t>
      </w:r>
      <w:r>
        <w:rPr>
          <w:noProof/>
        </w:rPr>
        <w:t xml:space="preserve"> (20</w:t>
      </w:r>
      <w:r>
        <w:t xml:space="preserve"> </w:t>
      </w:r>
      <w:bookmarkStart w:id="58" w:name="OCRUncertain072"/>
      <w:r>
        <w:t>кгс/м</w:t>
      </w:r>
      <w:bookmarkEnd w:id="58"/>
      <w:r>
        <w:rPr>
          <w:vertAlign w:val="superscript"/>
          <w:lang w:val="en-US"/>
        </w:rPr>
        <w:t>2</w:t>
      </w:r>
      <w:r>
        <w:rPr>
          <w:noProof/>
        </w:rPr>
        <w:t xml:space="preserve"> </w:t>
      </w:r>
      <w:bookmarkStart w:id="59" w:name="OCRUncertain073"/>
      <w:r>
        <w:rPr>
          <w:noProof/>
        </w:rPr>
        <w:t>).</w:t>
      </w:r>
      <w:bookmarkEnd w:id="59"/>
      <w:r>
        <w:rPr>
          <w:noProof/>
        </w:rPr>
        <w:t xml:space="preserve"> IV-400</w:t>
      </w:r>
      <w:r>
        <w:t xml:space="preserve"> Па </w:t>
      </w:r>
      <w:r>
        <w:rPr>
          <w:noProof/>
        </w:rPr>
        <w:t>(40</w:t>
      </w:r>
      <w:r>
        <w:t xml:space="preserve"> </w:t>
      </w:r>
      <w:bookmarkStart w:id="60" w:name="OCRUncertain074"/>
      <w:r>
        <w:t>кгс/м</w:t>
      </w:r>
      <w:bookmarkEnd w:id="60"/>
      <w:r>
        <w:rPr>
          <w:vertAlign w:val="superscript"/>
          <w:lang w:val="en-US"/>
        </w:rPr>
        <w:t>2</w:t>
      </w:r>
      <w:r>
        <w:rPr>
          <w:noProof/>
        </w:rPr>
        <w:t xml:space="preserve"> </w:t>
      </w:r>
      <w:bookmarkStart w:id="61" w:name="OCRUncertain075"/>
      <w:r>
        <w:rPr>
          <w:noProof/>
        </w:rPr>
        <w:t>),</w:t>
      </w:r>
      <w:bookmarkEnd w:id="61"/>
      <w:r>
        <w:t xml:space="preserve"> при проектировании весенних пленочных теплиц с </w:t>
      </w:r>
      <w:bookmarkStart w:id="62" w:name="OCRUncertain076"/>
      <w:r>
        <w:lastRenderedPageBreak/>
        <w:t>однослойным</w:t>
      </w:r>
      <w:bookmarkEnd w:id="62"/>
      <w:r>
        <w:t xml:space="preserve"> ограждением</w:t>
      </w:r>
      <w:r>
        <w:rPr>
          <w:noProof/>
        </w:rPr>
        <w:t xml:space="preserve"> — 100</w:t>
      </w:r>
      <w:r>
        <w:t xml:space="preserve"> Па </w:t>
      </w:r>
      <w:bookmarkStart w:id="63" w:name="OCRUncertain077"/>
      <w:r>
        <w:rPr>
          <w:noProof/>
        </w:rPr>
        <w:t>(</w:t>
      </w:r>
      <w:bookmarkEnd w:id="63"/>
      <w:r>
        <w:rPr>
          <w:noProof/>
        </w:rPr>
        <w:t xml:space="preserve"> 10</w:t>
      </w:r>
      <w:r>
        <w:t xml:space="preserve"> </w:t>
      </w:r>
      <w:bookmarkStart w:id="64" w:name="OCRUncertain078"/>
      <w:r>
        <w:t>кгс/м</w:t>
      </w:r>
      <w:bookmarkEnd w:id="64"/>
      <w:r>
        <w:rPr>
          <w:vertAlign w:val="superscript"/>
          <w:lang w:val="en-US"/>
        </w:rPr>
        <w:t>2</w:t>
      </w:r>
      <w:r>
        <w:rPr>
          <w:noProof/>
        </w:rPr>
        <w:t xml:space="preserve"> </w:t>
      </w:r>
      <w:bookmarkStart w:id="65" w:name="OCRUncertain079"/>
      <w:r>
        <w:rPr>
          <w:noProof/>
        </w:rPr>
        <w:t>)</w:t>
      </w:r>
      <w:bookmarkEnd w:id="65"/>
      <w:r>
        <w:t xml:space="preserve"> для всех районов. Районирование территории СССР по весу снегового покрова приведено в обязательном приложении</w:t>
      </w:r>
      <w:r>
        <w:rPr>
          <w:noProof/>
        </w:rPr>
        <w:t xml:space="preserve"> 2.</w:t>
      </w:r>
    </w:p>
    <w:p w:rsidR="00000000" w:rsidRDefault="007B7584">
      <w:pPr>
        <w:ind w:firstLine="284"/>
        <w:jc w:val="both"/>
        <w:rPr>
          <w:noProof/>
        </w:rPr>
      </w:pPr>
      <w:r>
        <w:t>Коэффициент перехода от веса снегового покрова на горизонтальной поверхности земли к нормативной нагрузке на покрытие теплиц и схемы распределения снеговой нагрузки необходимо принимать по обязате</w:t>
      </w:r>
      <w:r>
        <w:t>льному приложению</w:t>
      </w:r>
      <w:r>
        <w:rPr>
          <w:noProof/>
        </w:rPr>
        <w:t xml:space="preserve"> 1.</w:t>
      </w:r>
      <w:r>
        <w:t xml:space="preserve"> Расчетная снеговая нагрузка на покрытие теплиц должна приниматься с коэффициентом перегрузки</w:t>
      </w:r>
      <w:r>
        <w:rPr>
          <w:noProof/>
        </w:rPr>
        <w:t xml:space="preserve"> 1,4;</w:t>
      </w:r>
    </w:p>
    <w:p w:rsidR="00000000" w:rsidRDefault="007B7584">
      <w:pPr>
        <w:ind w:firstLine="284"/>
        <w:jc w:val="both"/>
        <w:rPr>
          <w:noProof/>
        </w:rPr>
      </w:pPr>
      <w:r>
        <w:t>б) скоростной напор ветра следует принимать переменным по высоте с коэффициентом</w:t>
      </w:r>
      <w:r>
        <w:rPr>
          <w:noProof/>
        </w:rPr>
        <w:t xml:space="preserve"> 1</w:t>
      </w:r>
      <w:r>
        <w:t xml:space="preserve"> на высоте 10м и с коэффициентом</w:t>
      </w:r>
      <w:r>
        <w:rPr>
          <w:noProof/>
        </w:rPr>
        <w:t xml:space="preserve"> 0,6</w:t>
      </w:r>
      <w:r>
        <w:t xml:space="preserve"> на высоте</w:t>
      </w:r>
      <w:r>
        <w:rPr>
          <w:noProof/>
        </w:rPr>
        <w:t xml:space="preserve"> 2</w:t>
      </w:r>
      <w:r>
        <w:t xml:space="preserve"> </w:t>
      </w:r>
      <w:bookmarkStart w:id="66" w:name="OCRUncertain080"/>
      <w:r>
        <w:t>м</w:t>
      </w:r>
      <w:bookmarkEnd w:id="66"/>
      <w:r>
        <w:t xml:space="preserve"> и менее; для промежуточных значений высот коэффициенты определяют линейной интерполяцией; для теплиц с огра</w:t>
      </w:r>
      <w:bookmarkStart w:id="67" w:name="OCRUncertain081"/>
      <w:r>
        <w:t>ж</w:t>
      </w:r>
      <w:bookmarkEnd w:id="67"/>
      <w:r>
        <w:t>дением из пленки указанные коэффициенты следует уменьшать на</w:t>
      </w:r>
      <w:r>
        <w:rPr>
          <w:noProof/>
        </w:rPr>
        <w:t xml:space="preserve"> 20 </w:t>
      </w:r>
      <w:bookmarkStart w:id="68" w:name="OCRUncertain082"/>
      <w:r>
        <w:rPr>
          <w:noProof/>
        </w:rPr>
        <w:t>%;</w:t>
      </w:r>
      <w:bookmarkEnd w:id="68"/>
    </w:p>
    <w:p w:rsidR="00000000" w:rsidRDefault="007B7584">
      <w:pPr>
        <w:ind w:firstLine="284"/>
        <w:jc w:val="both"/>
        <w:rPr>
          <w:noProof/>
        </w:rPr>
      </w:pPr>
      <w:r>
        <w:t>в) нормативную нагрузку на несущие конструкции теплиц от шпалер с подвешенными растен</w:t>
      </w:r>
      <w:r>
        <w:t>иями след</w:t>
      </w:r>
      <w:bookmarkStart w:id="69" w:name="OCRUncertain083"/>
      <w:r>
        <w:t>у</w:t>
      </w:r>
      <w:bookmarkEnd w:id="69"/>
      <w:r>
        <w:t>ет принимать равной</w:t>
      </w:r>
      <w:r>
        <w:rPr>
          <w:noProof/>
        </w:rPr>
        <w:t xml:space="preserve"> 150</w:t>
      </w:r>
      <w:r>
        <w:t xml:space="preserve"> Па</w:t>
      </w:r>
      <w:r>
        <w:rPr>
          <w:noProof/>
        </w:rPr>
        <w:t xml:space="preserve"> (15</w:t>
      </w:r>
      <w:r>
        <w:t xml:space="preserve"> </w:t>
      </w:r>
      <w:bookmarkStart w:id="70" w:name="OCRUncertain084"/>
      <w:r>
        <w:t>кгс/м</w:t>
      </w:r>
      <w:bookmarkEnd w:id="70"/>
      <w:r>
        <w:rPr>
          <w:vertAlign w:val="superscript"/>
          <w:lang w:val="en-US"/>
        </w:rPr>
        <w:t>2</w:t>
      </w:r>
      <w:r>
        <w:rPr>
          <w:noProof/>
        </w:rPr>
        <w:t xml:space="preserve"> </w:t>
      </w:r>
      <w:bookmarkStart w:id="71" w:name="OCRUncertain085"/>
      <w:r>
        <w:rPr>
          <w:noProof/>
        </w:rPr>
        <w:t>)</w:t>
      </w:r>
      <w:bookmarkEnd w:id="71"/>
      <w:r>
        <w:t xml:space="preserve"> и относить к кратковременной с коэффициентом перегрузки</w:t>
      </w:r>
      <w:r>
        <w:rPr>
          <w:noProof/>
        </w:rPr>
        <w:t xml:space="preserve"> 1,3;</w:t>
      </w:r>
    </w:p>
    <w:p w:rsidR="00000000" w:rsidRDefault="007B7584">
      <w:pPr>
        <w:ind w:firstLine="284"/>
        <w:jc w:val="both"/>
        <w:rPr>
          <w:noProof/>
        </w:rPr>
      </w:pPr>
      <w:bookmarkStart w:id="72" w:name="OCRUncertain086"/>
      <w:r>
        <w:t>г)</w:t>
      </w:r>
      <w:bookmarkEnd w:id="72"/>
      <w:r>
        <w:t xml:space="preserve"> </w:t>
      </w:r>
      <w:bookmarkStart w:id="73" w:name="OCRUncertain087"/>
      <w:r>
        <w:t>водоотводящие</w:t>
      </w:r>
      <w:bookmarkEnd w:id="73"/>
      <w:r>
        <w:t xml:space="preserve"> лотки (металлические и деревянные) покрытий многопролетных зимних теплиц необходимо проверять на нормативную сосредоточенную вертикальную нагрузку</w:t>
      </w:r>
      <w:r>
        <w:rPr>
          <w:noProof/>
        </w:rPr>
        <w:t xml:space="preserve"> 1000</w:t>
      </w:r>
      <w:r>
        <w:t xml:space="preserve"> </w:t>
      </w:r>
      <w:bookmarkStart w:id="74" w:name="OCRUncertain088"/>
      <w:r>
        <w:t>Н</w:t>
      </w:r>
      <w:bookmarkEnd w:id="74"/>
      <w:r>
        <w:rPr>
          <w:noProof/>
        </w:rPr>
        <w:t xml:space="preserve"> (100</w:t>
      </w:r>
      <w:r>
        <w:t xml:space="preserve"> кг), весенних пленочных теплиц</w:t>
      </w:r>
      <w:r>
        <w:rPr>
          <w:noProof/>
        </w:rPr>
        <w:t xml:space="preserve"> —</w:t>
      </w:r>
      <w:r>
        <w:t xml:space="preserve"> на две сосредоточенные вертикальные нагрузки</w:t>
      </w:r>
      <w:r>
        <w:rPr>
          <w:noProof/>
        </w:rPr>
        <w:t xml:space="preserve"> 1000</w:t>
      </w:r>
      <w:r>
        <w:t xml:space="preserve"> Н</w:t>
      </w:r>
      <w:r>
        <w:rPr>
          <w:noProof/>
        </w:rPr>
        <w:t xml:space="preserve"> (100</w:t>
      </w:r>
      <w:r>
        <w:t xml:space="preserve"> кг) каждая (приложенные на расстоянии между ними</w:t>
      </w:r>
      <w:r>
        <w:rPr>
          <w:noProof/>
        </w:rPr>
        <w:t xml:space="preserve"> 1</w:t>
      </w:r>
      <w:r>
        <w:t xml:space="preserve"> м) с коэффициентом перегрузки</w:t>
      </w:r>
      <w:r>
        <w:rPr>
          <w:noProof/>
        </w:rPr>
        <w:t xml:space="preserve"> 1,2;</w:t>
      </w:r>
    </w:p>
    <w:p w:rsidR="00000000" w:rsidRDefault="007B7584">
      <w:pPr>
        <w:ind w:firstLine="284"/>
        <w:jc w:val="both"/>
      </w:pPr>
      <w:bookmarkStart w:id="75" w:name="OCRUncertain089"/>
      <w:r>
        <w:t>д)</w:t>
      </w:r>
      <w:bookmarkEnd w:id="75"/>
      <w:r>
        <w:t xml:space="preserve"> нагрузки от технологического оборудования (уст</w:t>
      </w:r>
      <w:r>
        <w:t>ановок электрооблучения, трубопроводов и</w:t>
      </w:r>
      <w:r>
        <w:rPr>
          <w:lang w:val="en-US"/>
        </w:rPr>
        <w:t xml:space="preserve"> </w:t>
      </w:r>
      <w:r>
        <w:t>др.) следует принимать по данным соответствующих частей проекта.</w:t>
      </w:r>
    </w:p>
    <w:p w:rsidR="00000000" w:rsidRDefault="007B7584">
      <w:pPr>
        <w:ind w:firstLine="284"/>
        <w:jc w:val="both"/>
      </w:pPr>
      <w:r>
        <w:rPr>
          <w:b/>
          <w:noProof/>
        </w:rPr>
        <w:t>2.13.</w:t>
      </w:r>
      <w:r>
        <w:t xml:space="preserve"> Расчетные величины кратковременных нагрузок или соответствующие им усилия следует умножать на коэффициенты сочетания</w:t>
      </w:r>
      <w:r>
        <w:rPr>
          <w:noProof/>
        </w:rPr>
        <w:t xml:space="preserve"> 0,8</w:t>
      </w:r>
      <w:r>
        <w:t xml:space="preserve"> при сочетании двух и</w:t>
      </w:r>
      <w:r>
        <w:rPr>
          <w:noProof/>
        </w:rPr>
        <w:t xml:space="preserve"> 0,7</w:t>
      </w:r>
      <w:r>
        <w:t xml:space="preserve"> при сочетании трех и более нагрузок.</w:t>
      </w:r>
    </w:p>
    <w:p w:rsidR="00000000" w:rsidRDefault="007B7584">
      <w:pPr>
        <w:ind w:firstLine="284"/>
        <w:jc w:val="both"/>
      </w:pPr>
      <w:r>
        <w:rPr>
          <w:b/>
          <w:noProof/>
        </w:rPr>
        <w:t>2.14.</w:t>
      </w:r>
      <w:r>
        <w:t xml:space="preserve"> Теплицы в сейсмических районах должны проектироваться без учета сейсмических воздействий.</w:t>
      </w:r>
    </w:p>
    <w:p w:rsidR="00000000" w:rsidRDefault="007B7584">
      <w:pPr>
        <w:ind w:firstLine="284"/>
        <w:jc w:val="both"/>
      </w:pPr>
      <w:r>
        <w:rPr>
          <w:b/>
        </w:rPr>
        <w:t>2</w:t>
      </w:r>
      <w:r>
        <w:rPr>
          <w:b/>
          <w:lang w:val="en-US"/>
        </w:rPr>
        <w:t>.1</w:t>
      </w:r>
      <w:r>
        <w:rPr>
          <w:b/>
        </w:rPr>
        <w:t>5.</w:t>
      </w:r>
      <w:r>
        <w:t xml:space="preserve"> То</w:t>
      </w:r>
      <w:bookmarkStart w:id="76" w:name="OCRUncertain091"/>
      <w:r>
        <w:t>л</w:t>
      </w:r>
      <w:bookmarkEnd w:id="76"/>
      <w:r>
        <w:t>щину стальных гнутых профилей для ограждающих конструкций теплиц необходимо принимать по расчету, но не менее</w:t>
      </w:r>
      <w:r>
        <w:rPr>
          <w:noProof/>
        </w:rPr>
        <w:t xml:space="preserve"> 1</w:t>
      </w:r>
      <w:r>
        <w:t xml:space="preserve"> </w:t>
      </w:r>
      <w:r>
        <w:t>мм, деталей крепления стекла и пленки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0,4</w:t>
      </w:r>
      <w:r>
        <w:t xml:space="preserve"> мм.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2.16.</w:t>
      </w:r>
      <w:r>
        <w:t xml:space="preserve"> Гибкость стальных сжатых элементов каркаса теплиц не должна превышать</w:t>
      </w:r>
      <w:r>
        <w:rPr>
          <w:noProof/>
        </w:rPr>
        <w:t xml:space="preserve"> 180,</w:t>
      </w:r>
      <w:r>
        <w:t xml:space="preserve"> растян</w:t>
      </w:r>
      <w:bookmarkStart w:id="77" w:name="OCRUncertain092"/>
      <w:r>
        <w:t>у</w:t>
      </w:r>
      <w:bookmarkEnd w:id="77"/>
      <w:r>
        <w:t>тых элементов и связей</w:t>
      </w:r>
      <w:r>
        <w:rPr>
          <w:noProof/>
        </w:rPr>
        <w:t xml:space="preserve"> —</w:t>
      </w:r>
      <w:r>
        <w:t xml:space="preserve"> величин, указанных в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-23-81.</w:t>
      </w:r>
    </w:p>
    <w:p w:rsidR="00000000" w:rsidRDefault="007B7584">
      <w:pPr>
        <w:ind w:firstLine="284"/>
        <w:jc w:val="both"/>
      </w:pPr>
      <w:r>
        <w:rPr>
          <w:b/>
          <w:noProof/>
        </w:rPr>
        <w:t>2.17.</w:t>
      </w:r>
      <w:r>
        <w:t xml:space="preserve"> Прогибы стальных конструкций теплиц следует определять в соответствии с указаниями СНиП</w:t>
      </w:r>
      <w:r>
        <w:rPr>
          <w:noProof/>
        </w:rPr>
        <w:t xml:space="preserve"> II-23-81.</w:t>
      </w:r>
      <w:r>
        <w:t xml:space="preserve"> При этом вертикальные относительные прогибы элементов остекленных теплиц не должны превышать для </w:t>
      </w:r>
      <w:bookmarkStart w:id="78" w:name="OCRUncertain093"/>
      <w:r>
        <w:t>шпросов</w:t>
      </w:r>
      <w:bookmarkEnd w:id="78"/>
      <w:r>
        <w:rPr>
          <w:noProof/>
        </w:rPr>
        <w:t xml:space="preserve"> - </w:t>
      </w:r>
      <w:bookmarkStart w:id="79" w:name="OCRUncertain094"/>
      <w:r>
        <w:rPr>
          <w:noProof/>
        </w:rPr>
        <w:t>1</w:t>
      </w:r>
      <w:bookmarkEnd w:id="79"/>
      <w:r>
        <w:rPr>
          <w:noProof/>
        </w:rPr>
        <w:t>/</w:t>
      </w:r>
      <w:bookmarkStart w:id="80" w:name="OCRUncertain095"/>
      <w:r>
        <w:rPr>
          <w:noProof/>
        </w:rPr>
        <w:t>1</w:t>
      </w:r>
      <w:bookmarkEnd w:id="80"/>
      <w:r>
        <w:rPr>
          <w:noProof/>
        </w:rPr>
        <w:t>50,</w:t>
      </w:r>
      <w:r>
        <w:t xml:space="preserve"> прогонов</w:t>
      </w:r>
      <w:r>
        <w:rPr>
          <w:noProof/>
        </w:rPr>
        <w:t xml:space="preserve"> - </w:t>
      </w:r>
      <w:bookmarkStart w:id="81" w:name="OCRUncertain096"/>
      <w:r>
        <w:rPr>
          <w:noProof/>
        </w:rPr>
        <w:t>1</w:t>
      </w:r>
      <w:bookmarkEnd w:id="81"/>
      <w:r>
        <w:rPr>
          <w:noProof/>
        </w:rPr>
        <w:t>/200,</w:t>
      </w:r>
      <w:r>
        <w:t xml:space="preserve"> лотков</w:t>
      </w:r>
      <w:r>
        <w:rPr>
          <w:noProof/>
        </w:rPr>
        <w:t xml:space="preserve"> —</w:t>
      </w:r>
      <w:r>
        <w:t xml:space="preserve"> </w:t>
      </w:r>
      <w:bookmarkStart w:id="82" w:name="OCRUncertain097"/>
      <w:r>
        <w:t>1/</w:t>
      </w:r>
      <w:r>
        <w:rPr>
          <w:lang w:val="en-US"/>
        </w:rPr>
        <w:t>300</w:t>
      </w:r>
      <w:bookmarkEnd w:id="82"/>
      <w:r>
        <w:rPr>
          <w:lang w:val="en-US"/>
        </w:rPr>
        <w:t>,</w:t>
      </w:r>
      <w:r>
        <w:t xml:space="preserve"> ригелей</w:t>
      </w:r>
      <w:r>
        <w:rPr>
          <w:noProof/>
        </w:rPr>
        <w:t xml:space="preserve"> — 1/250,</w:t>
      </w:r>
      <w:r>
        <w:t xml:space="preserve"> ферм, несущих технологическое оборудо</w:t>
      </w:r>
      <w:r>
        <w:t>вание,</w:t>
      </w:r>
      <w:r>
        <w:rPr>
          <w:noProof/>
        </w:rPr>
        <w:t xml:space="preserve"> — 1/400, </w:t>
      </w:r>
      <w:r>
        <w:t>ферм, не несущих технологического оборудования,</w:t>
      </w:r>
      <w:r>
        <w:rPr>
          <w:noProof/>
        </w:rPr>
        <w:t xml:space="preserve"> —1/250, </w:t>
      </w:r>
      <w:r>
        <w:t>их  пролета.</w:t>
      </w:r>
    </w:p>
    <w:p w:rsidR="00000000" w:rsidRDefault="007B7584">
      <w:pPr>
        <w:ind w:firstLine="284"/>
        <w:jc w:val="both"/>
      </w:pPr>
      <w:r>
        <w:t>Относительный прогиб изгибаемых элементов пленочных теплиц не должен превышать</w:t>
      </w:r>
      <w:r>
        <w:rPr>
          <w:noProof/>
        </w:rPr>
        <w:t xml:space="preserve"> 1/75</w:t>
      </w:r>
      <w:r>
        <w:t xml:space="preserve"> </w:t>
      </w:r>
      <w:bookmarkStart w:id="83" w:name="OCRUncertain101"/>
      <w:r>
        <w:t>про</w:t>
      </w:r>
      <w:bookmarkEnd w:id="83"/>
      <w:r>
        <w:t>лета.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2.18.</w:t>
      </w:r>
      <w:r>
        <w:t xml:space="preserve"> При расчете стальных конструкций теплиц из гнутых профилей толщиной</w:t>
      </w:r>
      <w:r>
        <w:rPr>
          <w:noProof/>
        </w:rPr>
        <w:t xml:space="preserve"> 3</w:t>
      </w:r>
      <w:r>
        <w:t xml:space="preserve"> мм и менее при двух и более </w:t>
      </w:r>
      <w:bookmarkStart w:id="84" w:name="OCRUncertain102"/>
      <w:r>
        <w:t>гибах</w:t>
      </w:r>
      <w:bookmarkEnd w:id="84"/>
      <w:r>
        <w:t xml:space="preserve"> в поперечном сечении и при отношении высоты стенки или ширины полки к радиусу </w:t>
      </w:r>
      <w:bookmarkStart w:id="85" w:name="OCRUncertain103"/>
      <w:r>
        <w:t>гиба</w:t>
      </w:r>
      <w:bookmarkEnd w:id="85"/>
      <w:r>
        <w:t xml:space="preserve"> менее</w:t>
      </w:r>
      <w:r>
        <w:rPr>
          <w:noProof/>
        </w:rPr>
        <w:t xml:space="preserve"> 30</w:t>
      </w:r>
      <w:r>
        <w:t xml:space="preserve"> величины расчетного сопротивления стали на растяжение, </w:t>
      </w:r>
      <w:bookmarkStart w:id="86" w:name="OCRUncertain104"/>
      <w:r>
        <w:t>с</w:t>
      </w:r>
      <w:bookmarkEnd w:id="86"/>
      <w:r>
        <w:t>жатие и изгиб следует увеличивать на</w:t>
      </w:r>
      <w:r>
        <w:rPr>
          <w:noProof/>
        </w:rPr>
        <w:t xml:space="preserve"> 10%.</w:t>
      </w:r>
    </w:p>
    <w:p w:rsidR="00000000" w:rsidRDefault="007B7584">
      <w:pPr>
        <w:ind w:firstLine="284"/>
        <w:jc w:val="both"/>
      </w:pPr>
      <w:r>
        <w:rPr>
          <w:b/>
          <w:noProof/>
        </w:rPr>
        <w:t>2.19.</w:t>
      </w:r>
      <w:r>
        <w:t xml:space="preserve"> Деревянные конструкции тепли</w:t>
      </w:r>
      <w:r>
        <w:t>ц следует проектировать в соответствии с указаниями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-25-80.</w:t>
      </w:r>
      <w:r>
        <w:t xml:space="preserve"> При этом величины расчетного сопротивления древесины элементов каркаса пленочных теплиц в расчетах их на воздействие ветровой и снеговой нагрузок следует умножать на коэффициент условий работы, равный</w:t>
      </w:r>
      <w:r>
        <w:rPr>
          <w:noProof/>
        </w:rPr>
        <w:t xml:space="preserve"> 1,3</w:t>
      </w:r>
      <w:r>
        <w:t xml:space="preserve"> (для всех видов сопротивлений)</w:t>
      </w:r>
      <w:r>
        <w:rPr>
          <w:noProof/>
        </w:rPr>
        <w:t xml:space="preserve"> </w:t>
      </w:r>
      <w:bookmarkStart w:id="87" w:name="OCRUncertain105"/>
      <w:r>
        <w:rPr>
          <w:noProof/>
        </w:rPr>
        <w:t>.</w:t>
      </w:r>
      <w:bookmarkEnd w:id="87"/>
      <w:r>
        <w:t xml:space="preserve"> Другие коэффициенты условий работы, учитывающие воздействие кратковременных нагрузок, применять не следует.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2.20.</w:t>
      </w:r>
      <w:r>
        <w:t xml:space="preserve"> При расчете пленочных ограждений теплиц на воздействие ветровой нагрузки расчетное сопротивле</w:t>
      </w:r>
      <w:r>
        <w:t>ние полиэтиленовой пленки (ГОСТ</w:t>
      </w:r>
      <w:r>
        <w:rPr>
          <w:noProof/>
        </w:rPr>
        <w:t xml:space="preserve"> 10354—82*) </w:t>
      </w:r>
      <w:r>
        <w:t>на   растяжение   следует   принимать</w:t>
      </w:r>
      <w:r>
        <w:rPr>
          <w:noProof/>
        </w:rPr>
        <w:t xml:space="preserve">   5</w:t>
      </w:r>
      <w:r>
        <w:t xml:space="preserve"> </w:t>
      </w:r>
      <w:bookmarkStart w:id="88" w:name="OCRUncertain106"/>
      <w:r>
        <w:t xml:space="preserve">МПа </w:t>
      </w:r>
      <w:bookmarkEnd w:id="88"/>
      <w:r>
        <w:rPr>
          <w:noProof/>
        </w:rPr>
        <w:t>(50</w:t>
      </w:r>
      <w:r>
        <w:t xml:space="preserve"> </w:t>
      </w:r>
      <w:bookmarkStart w:id="89" w:name="OCRUncertain107"/>
      <w:r>
        <w:t>кгс/см</w:t>
      </w:r>
      <w:bookmarkEnd w:id="89"/>
      <w:r>
        <w:rPr>
          <w:vertAlign w:val="superscript"/>
          <w:lang w:val="en-US"/>
        </w:rPr>
        <w:t>2</w:t>
      </w:r>
      <w:r>
        <w:rPr>
          <w:noProof/>
        </w:rPr>
        <w:t xml:space="preserve"> </w:t>
      </w:r>
      <w:bookmarkStart w:id="90" w:name="OCRUncertain108"/>
      <w:r>
        <w:rPr>
          <w:noProof/>
        </w:rPr>
        <w:t>),</w:t>
      </w:r>
      <w:bookmarkEnd w:id="90"/>
      <w:r>
        <w:t xml:space="preserve">    модуль    упругости</w:t>
      </w:r>
      <w:r>
        <w:rPr>
          <w:noProof/>
        </w:rPr>
        <w:t xml:space="preserve">    75</w:t>
      </w:r>
      <w:r>
        <w:t xml:space="preserve"> МПа </w:t>
      </w:r>
      <w:r>
        <w:rPr>
          <w:noProof/>
        </w:rPr>
        <w:t>(750</w:t>
      </w:r>
      <w:r>
        <w:t xml:space="preserve"> </w:t>
      </w:r>
      <w:bookmarkStart w:id="91" w:name="OCRUncertain109"/>
      <w:r>
        <w:t>кгс/см</w:t>
      </w:r>
      <w:bookmarkEnd w:id="91"/>
      <w:r>
        <w:rPr>
          <w:vertAlign w:val="superscript"/>
          <w:lang w:val="en-US"/>
        </w:rPr>
        <w:t>2</w:t>
      </w:r>
      <w:r>
        <w:rPr>
          <w:noProof/>
        </w:rPr>
        <w:t xml:space="preserve"> </w:t>
      </w:r>
      <w:bookmarkStart w:id="92" w:name="OCRUncertain110"/>
      <w:r>
        <w:rPr>
          <w:noProof/>
        </w:rPr>
        <w:t>),</w:t>
      </w:r>
      <w:bookmarkEnd w:id="92"/>
      <w:r>
        <w:t xml:space="preserve"> на воздействие снеговой нагрузки или одновременно снеговой и ветровой нагрузок величину расчетного сопротивления и модуля упругости следует умножать на коэффициент</w:t>
      </w:r>
      <w:r>
        <w:rPr>
          <w:noProof/>
        </w:rPr>
        <w:t xml:space="preserve"> 1,5.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2.21.</w:t>
      </w:r>
      <w:r>
        <w:t xml:space="preserve"> Для теплиц следует применять стекло (ГОСТ</w:t>
      </w:r>
      <w:r>
        <w:rPr>
          <w:noProof/>
        </w:rPr>
        <w:t xml:space="preserve"> 111—90)</w:t>
      </w:r>
      <w:r>
        <w:t xml:space="preserve"> унифицированных размеров; толщину стекла следует назначать по расчету, но не более</w:t>
      </w:r>
      <w:r>
        <w:rPr>
          <w:noProof/>
        </w:rPr>
        <w:t xml:space="preserve"> 4</w:t>
      </w:r>
      <w:r>
        <w:t xml:space="preserve"> мм.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</w:t>
      </w:r>
      <w:r>
        <w:rPr>
          <w:b/>
        </w:rPr>
        <w:t>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2.22.</w:t>
      </w:r>
      <w:r>
        <w:t xml:space="preserve"> При расчете стеклянных ограждающих конструкций теплиц следует принимать: величину расчетного сопротивления стекла на изгиб</w:t>
      </w:r>
      <w:r>
        <w:rPr>
          <w:noProof/>
        </w:rPr>
        <w:t xml:space="preserve"> 12,5</w:t>
      </w:r>
      <w:r>
        <w:t xml:space="preserve"> МПа </w:t>
      </w:r>
      <w:r>
        <w:rPr>
          <w:noProof/>
        </w:rPr>
        <w:t>(125</w:t>
      </w:r>
      <w:r>
        <w:t xml:space="preserve"> </w:t>
      </w:r>
      <w:bookmarkStart w:id="93" w:name="OCRUncertain111"/>
      <w:r>
        <w:t>кгс/см</w:t>
      </w:r>
      <w:r>
        <w:rPr>
          <w:vertAlign w:val="superscript"/>
          <w:lang w:val="en-US"/>
        </w:rPr>
        <w:t>2</w:t>
      </w:r>
      <w:r>
        <w:t>),</w:t>
      </w:r>
      <w:bookmarkEnd w:id="93"/>
      <w:r>
        <w:t xml:space="preserve"> модуль упругости</w:t>
      </w:r>
      <w:r>
        <w:rPr>
          <w:noProof/>
        </w:rPr>
        <w:t xml:space="preserve"> 7,3</w:t>
      </w:r>
      <w:bookmarkStart w:id="94" w:name="OCRUncertain112"/>
      <w:r>
        <w:rPr>
          <w:noProof/>
        </w:rPr>
        <w:t>-</w:t>
      </w:r>
      <w:bookmarkEnd w:id="94"/>
      <w:r>
        <w:rPr>
          <w:noProof/>
        </w:rPr>
        <w:t>10</w:t>
      </w:r>
      <w:r>
        <w:rPr>
          <w:noProof/>
          <w:vertAlign w:val="superscript"/>
        </w:rPr>
        <w:t>4</w:t>
      </w:r>
      <w:r>
        <w:t xml:space="preserve"> МПа </w:t>
      </w:r>
      <w:r>
        <w:rPr>
          <w:noProof/>
        </w:rPr>
        <w:t>(7,3</w:t>
      </w:r>
      <w:bookmarkStart w:id="95" w:name="OCRUncertain114"/>
      <w:r>
        <w:rPr>
          <w:noProof/>
        </w:rPr>
        <w:t>-</w:t>
      </w:r>
      <w:bookmarkEnd w:id="95"/>
      <w:r>
        <w:rPr>
          <w:noProof/>
        </w:rPr>
        <w:t>10</w:t>
      </w:r>
      <w:r>
        <w:rPr>
          <w:noProof/>
          <w:vertAlign w:val="superscript"/>
        </w:rPr>
        <w:t>5</w:t>
      </w:r>
      <w:r>
        <w:t xml:space="preserve"> </w:t>
      </w:r>
      <w:bookmarkStart w:id="96" w:name="OCRUncertain116"/>
      <w:r>
        <w:t>кгс/см</w:t>
      </w:r>
      <w:r>
        <w:rPr>
          <w:vertAlign w:val="superscript"/>
          <w:lang w:val="en-US"/>
        </w:rPr>
        <w:t>2</w:t>
      </w:r>
      <w:r>
        <w:t>)</w:t>
      </w:r>
      <w:bookmarkEnd w:id="96"/>
      <w:r>
        <w:t xml:space="preserve"> и коэффициент поперечной </w:t>
      </w:r>
      <w:bookmarkStart w:id="97" w:name="OCRUncertain117"/>
      <w:r>
        <w:t>де</w:t>
      </w:r>
      <w:bookmarkEnd w:id="97"/>
      <w:r>
        <w:t>формации</w:t>
      </w:r>
      <w:r>
        <w:rPr>
          <w:noProof/>
        </w:rPr>
        <w:t xml:space="preserve"> 0,22.</w:t>
      </w:r>
      <w:r>
        <w:t xml:space="preserve"> При этом расчетные сопротив</w:t>
      </w:r>
      <w:bookmarkStart w:id="98" w:name="OCRUncertain118"/>
      <w:r>
        <w:t>л</w:t>
      </w:r>
      <w:bookmarkEnd w:id="98"/>
      <w:r>
        <w:t>ения стекла следует умножать на следующие коэффициенты условий работы: при закреплении стекла непрерывно по всему конт</w:t>
      </w:r>
      <w:bookmarkStart w:id="99" w:name="OCRUncertain120"/>
      <w:r>
        <w:t>у</w:t>
      </w:r>
      <w:bookmarkEnd w:id="99"/>
      <w:r>
        <w:t>ру (профильными элементами)</w:t>
      </w:r>
      <w:r>
        <w:rPr>
          <w:noProof/>
        </w:rPr>
        <w:t xml:space="preserve"> — 1;</w:t>
      </w:r>
      <w:r>
        <w:t xml:space="preserve"> при закреплении в отдельных точках контура </w:t>
      </w:r>
      <w:bookmarkStart w:id="100" w:name="OCRUncertain121"/>
      <w:r>
        <w:t>(кляммерами</w:t>
      </w:r>
      <w:bookmarkEnd w:id="100"/>
      <w:r>
        <w:t xml:space="preserve"> и т</w:t>
      </w:r>
      <w:bookmarkStart w:id="101" w:name="OCRUncertain122"/>
      <w:r>
        <w:t>.</w:t>
      </w:r>
      <w:bookmarkEnd w:id="101"/>
      <w:r>
        <w:t>п.)</w:t>
      </w:r>
      <w:r>
        <w:rPr>
          <w:noProof/>
        </w:rPr>
        <w:t xml:space="preserve"> — 0,</w:t>
      </w:r>
      <w:r>
        <w:rPr>
          <w:noProof/>
        </w:rPr>
        <w:t>8.</w:t>
      </w:r>
      <w:r>
        <w:t xml:space="preserve"> Величину расчетного сопротивления стекла вертикальных ограждений необходимо умножать дополнительно на коэффициент условий работы, равный</w:t>
      </w:r>
      <w:r>
        <w:rPr>
          <w:noProof/>
        </w:rPr>
        <w:t xml:space="preserve"> 1,2.</w:t>
      </w:r>
    </w:p>
    <w:p w:rsidR="00000000" w:rsidRDefault="007B7584">
      <w:pPr>
        <w:ind w:firstLine="284"/>
        <w:jc w:val="both"/>
        <w:rPr>
          <w:b/>
          <w:noProof/>
        </w:rPr>
      </w:pPr>
    </w:p>
    <w:p w:rsidR="00000000" w:rsidRDefault="007B7584">
      <w:pPr>
        <w:ind w:firstLine="284"/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ВОДОПРОВОД, ВОДОСТОКИ И ДРЕНАЖ</w:t>
      </w:r>
    </w:p>
    <w:p w:rsidR="00000000" w:rsidRDefault="007B7584">
      <w:pPr>
        <w:ind w:firstLine="284"/>
        <w:jc w:val="both"/>
        <w:rPr>
          <w:b/>
          <w:noProof/>
        </w:rPr>
      </w:pP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3.1.</w:t>
      </w:r>
      <w:r>
        <w:t xml:space="preserve"> Нормы и режим </w:t>
      </w:r>
      <w:bookmarkStart w:id="102" w:name="OCRUncertain123"/>
      <w:r>
        <w:t>водопотребления,</w:t>
      </w:r>
      <w:bookmarkEnd w:id="102"/>
      <w:r>
        <w:t xml:space="preserve"> качество и температуру воды для полива и других технологических целей следует принимать в соответствии с требованиями норм технологического проектирования, утвержденных в установленном порядке</w:t>
      </w:r>
      <w:r>
        <w:rPr>
          <w:noProof/>
        </w:rPr>
        <w:t>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3.2.</w:t>
      </w:r>
      <w:r>
        <w:t xml:space="preserve"> При проектировании систем водоснабжен</w:t>
      </w:r>
      <w:bookmarkStart w:id="103" w:name="OCRUncertain125"/>
      <w:r>
        <w:t>и</w:t>
      </w:r>
      <w:bookmarkEnd w:id="103"/>
      <w:r>
        <w:t>я теплиц и парников необ</w:t>
      </w:r>
      <w:r>
        <w:t xml:space="preserve">ходимо руководствоваться указаниями </w:t>
      </w:r>
      <w:bookmarkStart w:id="104" w:name="OCRUncertain126"/>
      <w:r>
        <w:t>СНиП</w:t>
      </w:r>
      <w:bookmarkEnd w:id="104"/>
      <w:r>
        <w:rPr>
          <w:noProof/>
        </w:rPr>
        <w:t xml:space="preserve"> 2.04.01-85*</w:t>
      </w:r>
      <w:r>
        <w:t xml:space="preserve"> и </w:t>
      </w:r>
      <w:bookmarkStart w:id="105" w:name="OCRUncertain127"/>
      <w:r>
        <w:t>СНиП</w:t>
      </w:r>
      <w:bookmarkEnd w:id="105"/>
      <w:r>
        <w:rPr>
          <w:noProof/>
        </w:rPr>
        <w:t xml:space="preserve"> 2.04.02-84*</w:t>
      </w:r>
      <w:r>
        <w:t xml:space="preserve"> с учетом требований настоящего раздела.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3.3.</w:t>
      </w:r>
      <w:r>
        <w:t xml:space="preserve"> Для полива в теплицах и для других производственных целей допускается при обосновании подавать воду питьевого качества. Если в сеть производственного водопровода подаются удобрения или другие вещества, он должен присоединяться к хо</w:t>
      </w:r>
      <w:bookmarkStart w:id="106" w:name="OCRUncertain129"/>
      <w:r>
        <w:t>з</w:t>
      </w:r>
      <w:bookmarkEnd w:id="106"/>
      <w:r>
        <w:t>яйственно-питьевому водопроводу с разрывом струи не менее</w:t>
      </w:r>
      <w:r>
        <w:rPr>
          <w:noProof/>
        </w:rPr>
        <w:t xml:space="preserve"> 50</w:t>
      </w:r>
      <w:r>
        <w:t xml:space="preserve"> мм от максимального уровня воды в баке или в резервуаре до низа пода</w:t>
      </w:r>
      <w:r>
        <w:t>ющего трубопровода.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3.4.</w:t>
      </w:r>
      <w:r>
        <w:t xml:space="preserve"> Предусматривать внутреннее и наружное пожаротушение теплиц и парников не следует.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3.5.</w:t>
      </w:r>
      <w:r>
        <w:t xml:space="preserve"> Внутренний водопровод теплиц должен присоединятьс</w:t>
      </w:r>
      <w:bookmarkStart w:id="107" w:name="OCRUncertain130"/>
      <w:r>
        <w:t>я</w:t>
      </w:r>
      <w:bookmarkEnd w:id="107"/>
      <w:r>
        <w:t xml:space="preserve"> к наружному, как правило, одним вводом.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3.6.</w:t>
      </w:r>
      <w:r>
        <w:t xml:space="preserve"> Водопровод </w:t>
      </w:r>
      <w:bookmarkStart w:id="108" w:name="OCRUncertain131"/>
      <w:r>
        <w:t>в</w:t>
      </w:r>
      <w:bookmarkEnd w:id="108"/>
      <w:r>
        <w:t xml:space="preserve"> теплицах должен быть оборудован форсунками или капельницами для полива почвы, форсунками для увлажнения воздуха, а также кранами для полива, мытья проездов и других технологических целей.</w:t>
      </w:r>
    </w:p>
    <w:p w:rsidR="00000000" w:rsidRDefault="007B7584">
      <w:pPr>
        <w:ind w:firstLine="284"/>
        <w:jc w:val="both"/>
      </w:pPr>
      <w:r>
        <w:t xml:space="preserve">В теплицах, предназначенных для выращивания овощей на искусственных субстратах, водопровод должен быть </w:t>
      </w:r>
      <w:r>
        <w:t>оборудован в соответствии с требованиями технологии.</w:t>
      </w:r>
    </w:p>
    <w:p w:rsidR="00000000" w:rsidRDefault="007B7584">
      <w:pPr>
        <w:ind w:firstLine="284"/>
        <w:jc w:val="both"/>
      </w:pPr>
      <w:r>
        <w:t>Водопровод парников должен иметь кр</w:t>
      </w:r>
      <w:bookmarkStart w:id="109" w:name="OCRUncertain133"/>
      <w:r>
        <w:t>о</w:t>
      </w:r>
      <w:bookmarkEnd w:id="109"/>
      <w:r>
        <w:t>ны для полива.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3.7.</w:t>
      </w:r>
      <w:r>
        <w:t xml:space="preserve"> Постоянный свободный напор воды в трубопроводах у форсунок и капельниц, зоны их действия и другие характеристики, необходимые для проектирования, следует принимать по данным заводов-изготовителей.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3.8.</w:t>
      </w:r>
      <w:r>
        <w:t xml:space="preserve"> Краны для полива должны иметь условный диаметр</w:t>
      </w:r>
      <w:r>
        <w:rPr>
          <w:noProof/>
        </w:rPr>
        <w:t xml:space="preserve"> 20</w:t>
      </w:r>
      <w:r>
        <w:t xml:space="preserve"> мм. Радиус зоны обслуживания одним краном не должен быть более</w:t>
      </w:r>
      <w:r>
        <w:rPr>
          <w:noProof/>
        </w:rPr>
        <w:t xml:space="preserve"> 45</w:t>
      </w:r>
      <w:r>
        <w:t xml:space="preserve"> </w:t>
      </w:r>
      <w:bookmarkStart w:id="110" w:name="OCRUncertain135"/>
      <w:r>
        <w:t>м.</w:t>
      </w:r>
      <w:bookmarkEnd w:id="110"/>
    </w:p>
    <w:p w:rsidR="00000000" w:rsidRDefault="007B7584">
      <w:pPr>
        <w:ind w:firstLine="284"/>
        <w:jc w:val="both"/>
      </w:pPr>
      <w:r>
        <w:rPr>
          <w:b/>
          <w:noProof/>
        </w:rPr>
        <w:t>3.9.</w:t>
      </w:r>
      <w:r>
        <w:t xml:space="preserve"> Внутренние сети водопровода и водостоков теплиц следует пр</w:t>
      </w:r>
      <w:bookmarkStart w:id="111" w:name="OCRUncertain136"/>
      <w:r>
        <w:t>о</w:t>
      </w:r>
      <w:bookmarkEnd w:id="111"/>
      <w:r>
        <w:t>ектировать, как пр</w:t>
      </w:r>
      <w:r>
        <w:t>авило</w:t>
      </w:r>
      <w:bookmarkStart w:id="112" w:name="OCRUncertain137"/>
      <w:r>
        <w:t>,</w:t>
      </w:r>
      <w:bookmarkEnd w:id="112"/>
      <w:r>
        <w:t xml:space="preserve"> из неметаллических труб; гребенки, фасонные части, их соединения и при обосновании магистральные трубопроводы, прокладываемые по коридорам и теплицам,</w:t>
      </w:r>
      <w:r>
        <w:rPr>
          <w:noProof/>
        </w:rPr>
        <w:t xml:space="preserve"> —</w:t>
      </w:r>
      <w:r>
        <w:t xml:space="preserve"> из металла.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3.10.</w:t>
      </w:r>
      <w:r>
        <w:t xml:space="preserve"> Внутренние сети водопровода и водостоков теплиц допускается прокладывать по поверхности земли и в земле.</w:t>
      </w:r>
    </w:p>
    <w:p w:rsidR="00000000" w:rsidRDefault="007B7584">
      <w:pPr>
        <w:ind w:firstLine="284"/>
        <w:jc w:val="both"/>
      </w:pPr>
      <w:r>
        <w:t>Трубопроводы должны иметь устройства для опорожнения.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3.11.</w:t>
      </w:r>
      <w:r>
        <w:t xml:space="preserve"> На вводах в теплицы след</w:t>
      </w:r>
      <w:bookmarkStart w:id="113" w:name="OCRUncertain138"/>
      <w:r>
        <w:t>у</w:t>
      </w:r>
      <w:bookmarkEnd w:id="113"/>
      <w:r>
        <w:t>ет предусматривать установку водомеров. Допуска</w:t>
      </w:r>
      <w:bookmarkStart w:id="114" w:name="OCRUncertain140"/>
      <w:r>
        <w:t>е</w:t>
      </w:r>
      <w:bookmarkEnd w:id="114"/>
      <w:r>
        <w:t>тся установка водомеров на группу или блок теплиц.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3.12.</w:t>
      </w:r>
      <w:r>
        <w:t xml:space="preserve"> Запорную арматуру необходимо устанавлив</w:t>
      </w:r>
      <w:r>
        <w:t>ать на вводах в теплицы и на ответвлениях от магистральных трубопроводов теплиц и парников.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3.13.</w:t>
      </w:r>
      <w:r>
        <w:t xml:space="preserve"> Управление поливом следует предусматривать, как правило, дистанционным по з</w:t>
      </w:r>
      <w:bookmarkStart w:id="115" w:name="OCRUncertain142"/>
      <w:r>
        <w:t>ад</w:t>
      </w:r>
      <w:bookmarkEnd w:id="115"/>
      <w:r>
        <w:t>анной программе.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3.14.</w:t>
      </w:r>
      <w:r>
        <w:t xml:space="preserve"> Категория надежности систем водоснабжения теплиц должна быть не ниже</w:t>
      </w:r>
      <w:r>
        <w:rPr>
          <w:noProof/>
        </w:rPr>
        <w:t xml:space="preserve"> II,</w:t>
      </w:r>
      <w:r>
        <w:t xml:space="preserve"> парников</w:t>
      </w:r>
      <w:r>
        <w:rPr>
          <w:noProof/>
        </w:rPr>
        <w:t xml:space="preserve"> —</w:t>
      </w:r>
      <w:r>
        <w:t xml:space="preserve"> не ниже</w:t>
      </w:r>
      <w:r>
        <w:rPr>
          <w:lang w:val="en-US"/>
        </w:rPr>
        <w:t xml:space="preserve"> III</w:t>
      </w:r>
      <w:r>
        <w:t xml:space="preserve"> согласно классификации СНиП</w:t>
      </w:r>
      <w:r>
        <w:rPr>
          <w:noProof/>
        </w:rPr>
        <w:t xml:space="preserve"> 2.04.02-84*.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3.15.</w:t>
      </w:r>
      <w:r>
        <w:t xml:space="preserve"> Многопролетные зимние теплицы следует проектировать, как правило, с внутренними водостоками для отвода атмосферных осадков из лотков покр</w:t>
      </w:r>
      <w:r>
        <w:t>ытия. Многопролетные весенние и однопролетные весенние и зимние теплицы необходимо проектировать без внутренних водостоков.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3.16.</w:t>
      </w:r>
      <w:r>
        <w:t xml:space="preserve"> Расчетные расходы дождевых вод при гидравлическом расчете лотков на кровл</w:t>
      </w:r>
      <w:bookmarkStart w:id="116" w:name="OCRUncertain144"/>
      <w:r>
        <w:t>я</w:t>
      </w:r>
      <w:bookmarkEnd w:id="116"/>
      <w:r>
        <w:t xml:space="preserve">х теплиц и сетей внутренних водостоков следует определять по методу предельных </w:t>
      </w:r>
      <w:bookmarkStart w:id="117" w:name="OCRUncertain145"/>
      <w:r>
        <w:t>и</w:t>
      </w:r>
      <w:bookmarkEnd w:id="117"/>
      <w:r>
        <w:t>нтенсивностей. При этом период однократного превышения интенсивности дождя в расчетах внутренних водостоков необходимо принимать, как правило, равным</w:t>
      </w:r>
      <w:r>
        <w:rPr>
          <w:noProof/>
        </w:rPr>
        <w:t xml:space="preserve"> 0,5</w:t>
      </w:r>
      <w:r>
        <w:t xml:space="preserve"> года.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3.17.</w:t>
      </w:r>
      <w:r>
        <w:t xml:space="preserve"> В зависимости от гидрогеологических условий площадки строитель</w:t>
      </w:r>
      <w:r>
        <w:t>ства необходимо предусматривать закрытый дренаж в зимних грунтовых теплицах и в рассадных отделениях весенних теплиц.</w:t>
      </w:r>
    </w:p>
    <w:p w:rsidR="00000000" w:rsidRDefault="007B7584">
      <w:pPr>
        <w:ind w:firstLine="284"/>
        <w:jc w:val="both"/>
      </w:pPr>
      <w:r>
        <w:t>Расстояние от проектной отметки поверхности почвы до верха дренажа должно быть не м</w:t>
      </w:r>
      <w:bookmarkStart w:id="118" w:name="OCRUncertain146"/>
      <w:r>
        <w:t>е</w:t>
      </w:r>
      <w:bookmarkEnd w:id="118"/>
      <w:r>
        <w:t xml:space="preserve">нее </w:t>
      </w:r>
      <w:r>
        <w:rPr>
          <w:noProof/>
        </w:rPr>
        <w:t>0,7</w:t>
      </w:r>
      <w:r>
        <w:t xml:space="preserve"> м. Устройство дренажа в парниках не допускается.</w:t>
      </w:r>
    </w:p>
    <w:p w:rsidR="00000000" w:rsidRDefault="007B7584">
      <w:pPr>
        <w:ind w:firstLine="284"/>
        <w:jc w:val="both"/>
      </w:pPr>
      <w:r>
        <w:rPr>
          <w:b/>
          <w:noProof/>
        </w:rPr>
        <w:t>3.18.</w:t>
      </w:r>
      <w:r>
        <w:t xml:space="preserve"> Дренаж должен обеспечивать оптимальный </w:t>
      </w:r>
      <w:bookmarkStart w:id="119" w:name="OCRUncertain147"/>
      <w:r>
        <w:t>воздушно-влажностный</w:t>
      </w:r>
      <w:bookmarkEnd w:id="119"/>
      <w:r>
        <w:t xml:space="preserve"> режим </w:t>
      </w:r>
      <w:bookmarkStart w:id="120" w:name="OCRUncertain148"/>
      <w:r>
        <w:t xml:space="preserve">корнеобитаемого </w:t>
      </w:r>
      <w:bookmarkEnd w:id="120"/>
      <w:r>
        <w:t>слоя, своевременное отведение дренажных стоков согласно требованиям норм технологического проектирования, утвержденных в установленном порядке, а также предотвращени</w:t>
      </w:r>
      <w:r>
        <w:t>е  загрязнения   гр</w:t>
      </w:r>
      <w:bookmarkStart w:id="121" w:name="OCRUncertain150"/>
      <w:r>
        <w:t>у</w:t>
      </w:r>
      <w:bookmarkEnd w:id="121"/>
      <w:r>
        <w:t>нтовых   вод пестицидами и минеральными удобрениями.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  <w:rPr>
          <w:b/>
        </w:rPr>
      </w:pPr>
    </w:p>
    <w:p w:rsidR="00000000" w:rsidRDefault="007B7584">
      <w:pPr>
        <w:ind w:firstLine="284"/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ОТОПЛЕНИЕ И ВЕНТИЛЯЦИЯ</w:t>
      </w:r>
    </w:p>
    <w:p w:rsidR="00000000" w:rsidRDefault="007B7584">
      <w:pPr>
        <w:ind w:firstLine="284"/>
        <w:jc w:val="both"/>
        <w:rPr>
          <w:b/>
        </w:rPr>
      </w:pPr>
    </w:p>
    <w:p w:rsidR="00000000" w:rsidRDefault="007B7584">
      <w:pPr>
        <w:ind w:firstLine="284"/>
        <w:jc w:val="both"/>
      </w:pPr>
      <w:r>
        <w:rPr>
          <w:b/>
          <w:noProof/>
        </w:rPr>
        <w:t>4.1.</w:t>
      </w:r>
      <w:r>
        <w:t xml:space="preserve"> Отопление и вентиляцию теплиц и парников следует проектировать в соответствии с указаниями СНиП</w:t>
      </w:r>
      <w:r>
        <w:rPr>
          <w:noProof/>
        </w:rPr>
        <w:t xml:space="preserve"> 2.04.05-91* </w:t>
      </w:r>
      <w:r>
        <w:t xml:space="preserve"> и с учетом норм настоящего раздела.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4.2.</w:t>
      </w:r>
      <w:r>
        <w:t xml:space="preserve"> Отопление и вентиляция теплиц и парников совместно с другими системами должны обеспечивать в них параметры микроклимата (температуру воздуха и почвы, относительную влажность и скорость дви</w:t>
      </w:r>
      <w:r>
        <w:t>жения внутреннего воздуха)</w:t>
      </w:r>
      <w:r>
        <w:rPr>
          <w:noProof/>
        </w:rPr>
        <w:t xml:space="preserve"> </w:t>
      </w:r>
      <w:bookmarkStart w:id="122" w:name="OCRUncertain151"/>
      <w:r>
        <w:rPr>
          <w:noProof/>
        </w:rPr>
        <w:t>,</w:t>
      </w:r>
      <w:bookmarkEnd w:id="122"/>
      <w:r>
        <w:t xml:space="preserve"> установленные требованиями</w:t>
      </w:r>
      <w:r>
        <w:rPr>
          <w:noProof/>
        </w:rPr>
        <w:t xml:space="preserve"> </w:t>
      </w:r>
      <w:r>
        <w:t>норм технологического проектирования, утвержденных в установленном порядке</w:t>
      </w:r>
      <w:r>
        <w:rPr>
          <w:noProof/>
        </w:rPr>
        <w:t>.</w:t>
      </w:r>
    </w:p>
    <w:p w:rsidR="00000000" w:rsidRDefault="007B7584">
      <w:pPr>
        <w:ind w:firstLine="284"/>
        <w:jc w:val="both"/>
      </w:pPr>
      <w:r>
        <w:t>Теплицы должны быть оборудованы сист</w:t>
      </w:r>
      <w:bookmarkStart w:id="123" w:name="OCRUncertain152"/>
      <w:r>
        <w:t>е</w:t>
      </w:r>
      <w:bookmarkEnd w:id="123"/>
      <w:r>
        <w:t>мой вентиляции. Необходимость устройства системы отопления теплиц и парников, а также ее мощность следует определять расчетом.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4.3.</w:t>
      </w:r>
      <w:r>
        <w:t xml:space="preserve"> Теплоснабжение теплиц и парников должно осуществляться за счет вторичных </w:t>
      </w:r>
      <w:bookmarkStart w:id="124" w:name="OCRUncertain153"/>
      <w:r>
        <w:t xml:space="preserve">энергоресурсов, </w:t>
      </w:r>
      <w:bookmarkEnd w:id="124"/>
      <w:r>
        <w:t xml:space="preserve">тепла </w:t>
      </w:r>
      <w:bookmarkStart w:id="125" w:name="OCRUncertain154"/>
      <w:r>
        <w:t>геотермальных</w:t>
      </w:r>
      <w:bookmarkEnd w:id="125"/>
      <w:r>
        <w:t xml:space="preserve"> вод, при отсутствии указанных источников</w:t>
      </w:r>
      <w:r>
        <w:rPr>
          <w:noProof/>
        </w:rPr>
        <w:t xml:space="preserve"> —</w:t>
      </w:r>
      <w:r>
        <w:t xml:space="preserve"> от </w:t>
      </w:r>
      <w:bookmarkStart w:id="126" w:name="OCRUncertain155"/>
      <w:r>
        <w:t>ТЭС,</w:t>
      </w:r>
      <w:bookmarkEnd w:id="126"/>
      <w:r>
        <w:t xml:space="preserve"> АЭС и ТЭЦ или соб</w:t>
      </w:r>
      <w:r>
        <w:t>ственных источников тепла.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4.4.</w:t>
      </w:r>
      <w:r>
        <w:t xml:space="preserve"> При использовании для отопления т</w:t>
      </w:r>
      <w:bookmarkStart w:id="127" w:name="OCRUncertain156"/>
      <w:r>
        <w:t>е</w:t>
      </w:r>
      <w:bookmarkEnd w:id="127"/>
      <w:r>
        <w:t>плиц вторичных энергоресурсов допускается применять</w:t>
      </w:r>
    </w:p>
    <w:p w:rsidR="00000000" w:rsidRDefault="007B7584">
      <w:pPr>
        <w:ind w:firstLine="284"/>
        <w:jc w:val="both"/>
      </w:pPr>
      <w:r>
        <w:t>схемы теплоснабжения с использованием пиковой котельной.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4.5.</w:t>
      </w:r>
      <w:r>
        <w:t xml:space="preserve"> Расчетные параметры внутреннего воздуха и температуру почвы теплиц следует принимать в соответствии с требованиями </w:t>
      </w:r>
      <w:bookmarkStart w:id="128" w:name="OCRUncertain158"/>
      <w:r>
        <w:t>норм технологического проектирования, утвержденных в установленном порядке</w:t>
      </w:r>
      <w:r>
        <w:rPr>
          <w:noProof/>
        </w:rPr>
        <w:t>.</w:t>
      </w:r>
      <w:bookmarkEnd w:id="128"/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4.6.</w:t>
      </w:r>
      <w:r>
        <w:t xml:space="preserve"> Расчетные параметры наружного воздуха следует принимать согласно </w:t>
      </w:r>
      <w:bookmarkStart w:id="129" w:name="OCRUncertain159"/>
      <w:r>
        <w:t>СНиП</w:t>
      </w:r>
      <w:bookmarkEnd w:id="129"/>
      <w:r>
        <w:rPr>
          <w:noProof/>
        </w:rPr>
        <w:t xml:space="preserve"> 2.01.01-82:</w:t>
      </w:r>
    </w:p>
    <w:p w:rsidR="00000000" w:rsidRDefault="007B7584">
      <w:pPr>
        <w:ind w:firstLine="284"/>
        <w:jc w:val="both"/>
      </w:pPr>
      <w:r>
        <w:t>а) в холодный период</w:t>
      </w:r>
      <w:r>
        <w:t xml:space="preserve"> года для зимних теплиц</w:t>
      </w:r>
      <w:r>
        <w:rPr>
          <w:noProof/>
        </w:rPr>
        <w:t xml:space="preserve"> — </w:t>
      </w:r>
      <w:r>
        <w:t>среднюю температуру наиболее холодных суток с обеспеченностью</w:t>
      </w:r>
      <w:r>
        <w:rPr>
          <w:noProof/>
        </w:rPr>
        <w:t xml:space="preserve"> 0,92,</w:t>
      </w:r>
      <w:r>
        <w:t xml:space="preserve"> среднюю относительную влажность наиболее холодного месяца и среднюю скорость ветра за я</w:t>
      </w:r>
      <w:bookmarkStart w:id="130" w:name="OCRUncertain160"/>
      <w:r>
        <w:t>н</w:t>
      </w:r>
      <w:bookmarkEnd w:id="130"/>
      <w:r>
        <w:t>варь; для весенних теплиц</w:t>
      </w:r>
      <w:r>
        <w:rPr>
          <w:noProof/>
        </w:rPr>
        <w:t xml:space="preserve"> — </w:t>
      </w:r>
      <w:r>
        <w:t>среднюю температуру наиболее холодного месяца за период эксплуатации, сниженную на половину максимальной суточной амплитуды температуры воздуха, среднюю относительную влажность и среднюю скорость ветра в этом месяце;</w:t>
      </w:r>
    </w:p>
    <w:p w:rsidR="00000000" w:rsidRDefault="007B7584">
      <w:pPr>
        <w:ind w:firstLine="284"/>
        <w:jc w:val="both"/>
      </w:pPr>
      <w:r>
        <w:t>б) в теплый период года (для всех теплиц)</w:t>
      </w:r>
      <w:r>
        <w:rPr>
          <w:noProof/>
        </w:rPr>
        <w:t xml:space="preserve"> — </w:t>
      </w:r>
      <w:r>
        <w:t>среднюю температуру и среднюю относительн</w:t>
      </w:r>
      <w:r>
        <w:t>ую влажность самого жаркого месяца, среднюю скорость ветра за июль.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4.7.</w:t>
      </w:r>
      <w:r>
        <w:t xml:space="preserve"> Отопление и вентиляцию теплиц и парников следует проектировать с учетом поступлений тепла, аккумулированного почвой в дневное время (холодный период года) и от солнечной радиации (теплый период года)</w:t>
      </w:r>
      <w:bookmarkStart w:id="131" w:name="OCRUncertain161"/>
      <w:r>
        <w:rPr>
          <w:noProof/>
        </w:rPr>
        <w:t>.</w:t>
      </w:r>
      <w:bookmarkEnd w:id="131"/>
    </w:p>
    <w:p w:rsidR="00000000" w:rsidRDefault="007B7584">
      <w:pPr>
        <w:ind w:firstLine="284"/>
        <w:jc w:val="both"/>
      </w:pPr>
      <w:r>
        <w:t xml:space="preserve">При расчете водяного отопления необходимо учитывать лучистую составляющую теплоотдачи нагревательными </w:t>
      </w:r>
      <w:bookmarkStart w:id="132" w:name="OCRUncertain162"/>
      <w:r>
        <w:t>п</w:t>
      </w:r>
      <w:bookmarkEnd w:id="132"/>
      <w:r>
        <w:t>риборами (трубами) и изменение теплоотдачи по их длине.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4.8.</w:t>
      </w:r>
      <w:r>
        <w:t xml:space="preserve"> В зимних теплицах следует предусматривать водяное отопление или водяное в </w:t>
      </w:r>
      <w:r>
        <w:t>сочетании с воздушным (комбинированное отопление) и водяной обогрев почвы. Комбинированную систему отопления необходимо предусматривать, как правило, в зонах с наружной температурой наиболее холодных суток минус</w:t>
      </w:r>
      <w:r>
        <w:rPr>
          <w:noProof/>
        </w:rPr>
        <w:t xml:space="preserve"> 20</w:t>
      </w:r>
      <w:r>
        <w:t xml:space="preserve"> °С и ниже, в остальных районах ее применение должно </w:t>
      </w:r>
      <w:bookmarkStart w:id="133" w:name="OCRUncertain163"/>
      <w:r>
        <w:t>б</w:t>
      </w:r>
      <w:bookmarkEnd w:id="133"/>
      <w:r>
        <w:t xml:space="preserve">ыть обосновано. Тепловую мощность воздушного обогрева в </w:t>
      </w:r>
      <w:bookmarkStart w:id="134" w:name="OCRUncertain164"/>
      <w:r>
        <w:t>системе</w:t>
      </w:r>
      <w:bookmarkEnd w:id="134"/>
      <w:r>
        <w:t xml:space="preserve"> комбинированного отопления следует принимать в однопролетных теплицах равной</w:t>
      </w:r>
      <w:r>
        <w:rPr>
          <w:noProof/>
        </w:rPr>
        <w:t xml:space="preserve"> 35—50%.</w:t>
      </w:r>
      <w:r>
        <w:t xml:space="preserve"> в многопролетных</w:t>
      </w:r>
      <w:r>
        <w:rPr>
          <w:noProof/>
        </w:rPr>
        <w:t xml:space="preserve"> — 20—40 %</w:t>
      </w:r>
      <w:r>
        <w:t xml:space="preserve"> общего расхода тепла в расчетный период.</w:t>
      </w:r>
    </w:p>
    <w:p w:rsidR="00000000" w:rsidRDefault="007B7584">
      <w:pPr>
        <w:ind w:firstLine="284"/>
        <w:jc w:val="both"/>
      </w:pPr>
      <w:r>
        <w:t>В весенних теплицах следует</w:t>
      </w:r>
      <w:r>
        <w:t xml:space="preserve"> предусматривать воздушное отопление от калориферов и </w:t>
      </w:r>
      <w:bookmarkStart w:id="135" w:name="OCRUncertain165"/>
      <w:r>
        <w:t>теплогенераторов,</w:t>
      </w:r>
      <w:bookmarkEnd w:id="135"/>
      <w:r>
        <w:t xml:space="preserve"> при обосновании</w:t>
      </w:r>
      <w:r>
        <w:rPr>
          <w:noProof/>
        </w:rPr>
        <w:t xml:space="preserve"> —</w:t>
      </w:r>
      <w:r>
        <w:t xml:space="preserve"> водяное отопление с регистрами из труб.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4.9.</w:t>
      </w:r>
      <w:r>
        <w:t xml:space="preserve"> При проектировании систем отопления теплиц температуру теплоносителя следует принимать не более</w:t>
      </w:r>
      <w:r>
        <w:rPr>
          <w:noProof/>
        </w:rPr>
        <w:t xml:space="preserve"> 150 °С.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4.10.</w:t>
      </w:r>
      <w:r>
        <w:t xml:space="preserve"> Приборы отопления в теплицах необходимо размещать:</w:t>
      </w:r>
    </w:p>
    <w:p w:rsidR="00000000" w:rsidRDefault="007B7584">
      <w:pPr>
        <w:ind w:firstLine="284"/>
        <w:jc w:val="both"/>
      </w:pPr>
      <w:r>
        <w:t>в верхней зоне</w:t>
      </w:r>
      <w:r>
        <w:rPr>
          <w:noProof/>
        </w:rPr>
        <w:t xml:space="preserve"> —</w:t>
      </w:r>
      <w:r>
        <w:t xml:space="preserve"> под покрытием, водосточными желобами и карнизами;</w:t>
      </w:r>
    </w:p>
    <w:p w:rsidR="00000000" w:rsidRDefault="007B7584">
      <w:pPr>
        <w:ind w:firstLine="284"/>
        <w:jc w:val="both"/>
      </w:pPr>
      <w:r>
        <w:t>в средней зоне</w:t>
      </w:r>
      <w:r>
        <w:rPr>
          <w:noProof/>
        </w:rPr>
        <w:t xml:space="preserve"> -</w:t>
      </w:r>
      <w:r>
        <w:t xml:space="preserve"> у наружных стен, на внутренних стойках каркаса, затяжках рам или нижних поясах ферм и между рядами растений;</w:t>
      </w:r>
    </w:p>
    <w:p w:rsidR="00000000" w:rsidRDefault="007B7584">
      <w:pPr>
        <w:ind w:firstLine="284"/>
        <w:jc w:val="both"/>
      </w:pPr>
      <w:r>
        <w:t>в нижней зоне</w:t>
      </w:r>
      <w:r>
        <w:rPr>
          <w:noProof/>
        </w:rPr>
        <w:t xml:space="preserve"> —</w:t>
      </w:r>
      <w:r>
        <w:t xml:space="preserve"> на почв</w:t>
      </w:r>
      <w:r>
        <w:t>е между рядами растений, по контуру наружных стен на глубине</w:t>
      </w:r>
      <w:r>
        <w:rPr>
          <w:noProof/>
        </w:rPr>
        <w:t xml:space="preserve"> 0,05-0,1</w:t>
      </w:r>
      <w:r>
        <w:t xml:space="preserve"> </w:t>
      </w:r>
      <w:bookmarkStart w:id="136" w:name="OCRUncertain166"/>
      <w:r>
        <w:t>м</w:t>
      </w:r>
      <w:bookmarkEnd w:id="136"/>
      <w:r>
        <w:t xml:space="preserve"> и для обогрева почвы</w:t>
      </w:r>
      <w:r>
        <w:rPr>
          <w:noProof/>
        </w:rPr>
        <w:t xml:space="preserve"> —</w:t>
      </w:r>
      <w:r>
        <w:t xml:space="preserve"> на глубине не менее </w:t>
      </w:r>
      <w:r>
        <w:rPr>
          <w:noProof/>
        </w:rPr>
        <w:t>0,4</w:t>
      </w:r>
      <w:r>
        <w:t xml:space="preserve"> м от проектной отметки поверхности почвы до верха труб отопления.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4.11.</w:t>
      </w:r>
      <w:r>
        <w:t xml:space="preserve"> Трубы для обогрева почвы следует располагать равномерн</w:t>
      </w:r>
      <w:bookmarkStart w:id="137" w:name="OCRUncertain167"/>
      <w:r>
        <w:t>о</w:t>
      </w:r>
      <w:bookmarkEnd w:id="137"/>
      <w:r>
        <w:t xml:space="preserve"> по площади теплиц на расстояниях, определяемых теплотехническим расчетом.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4.12.</w:t>
      </w:r>
      <w:r>
        <w:t xml:space="preserve"> Для водяного отопления теплиц в качестве отопительных приборов следу</w:t>
      </w:r>
      <w:bookmarkStart w:id="138" w:name="OCRUncertain168"/>
      <w:r>
        <w:t>е</w:t>
      </w:r>
      <w:bookmarkEnd w:id="138"/>
      <w:r>
        <w:t>т применять (в зависимости от температуры теплоносителя) стеклянные, пластмассовые, стальные гладкие трубы с соответ</w:t>
      </w:r>
      <w:r>
        <w:t>ствующей антикоррозионной защитой. Применение стальных труб для подпочвенного обогрева не допускается.</w:t>
      </w: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4.13.</w:t>
      </w:r>
      <w:r>
        <w:t xml:space="preserve"> Для обеспечения равномерного обогрева внутреннего воздуха теплиц следует: в зону высотой</w:t>
      </w:r>
      <w:r>
        <w:rPr>
          <w:noProof/>
        </w:rPr>
        <w:t xml:space="preserve"> 1</w:t>
      </w:r>
      <w:r>
        <w:t xml:space="preserve"> м от поверхности почвы подавать не менее </w:t>
      </w:r>
      <w:r>
        <w:rPr>
          <w:noProof/>
        </w:rPr>
        <w:t>40 %</w:t>
      </w:r>
      <w:r>
        <w:t xml:space="preserve"> общего количества теплоты, включая теплоту обогрева почвы; в остальной зоне удельная (на1 м</w:t>
      </w:r>
      <w:r>
        <w:rPr>
          <w:vertAlign w:val="superscript"/>
        </w:rPr>
        <w:t>2</w:t>
      </w:r>
      <w:r>
        <w:t xml:space="preserve"> поверхности ограждений) теплоотдача отопительных приборов, располагаемых на вертикальных ограждениях (стенах)</w:t>
      </w:r>
      <w:bookmarkStart w:id="139" w:name="OCRUncertain170"/>
      <w:r>
        <w:rPr>
          <w:noProof/>
        </w:rPr>
        <w:t>,</w:t>
      </w:r>
      <w:bookmarkEnd w:id="139"/>
      <w:r>
        <w:t xml:space="preserve"> должна быть на</w:t>
      </w:r>
      <w:r>
        <w:rPr>
          <w:noProof/>
        </w:rPr>
        <w:t xml:space="preserve"> 25 </w:t>
      </w:r>
      <w:r>
        <w:rPr>
          <w:i/>
          <w:noProof/>
        </w:rPr>
        <w:t>%</w:t>
      </w:r>
      <w:r>
        <w:t xml:space="preserve"> больше теплоотдачи приборов, располагаемых</w:t>
      </w:r>
      <w:r>
        <w:t xml:space="preserve"> на наклонных ограждениях (покрытии)</w:t>
      </w:r>
      <w:bookmarkStart w:id="140" w:name="OCRUncertain171"/>
      <w:r>
        <w:rPr>
          <w:noProof/>
        </w:rPr>
        <w:t>.</w:t>
      </w:r>
      <w:bookmarkEnd w:id="140"/>
    </w:p>
    <w:p w:rsidR="00000000" w:rsidRDefault="007B7584">
      <w:pPr>
        <w:ind w:firstLine="284"/>
        <w:jc w:val="both"/>
      </w:pPr>
      <w:r>
        <w:rPr>
          <w:b/>
          <w:noProof/>
        </w:rPr>
        <w:t>4.14.</w:t>
      </w:r>
      <w:r>
        <w:t xml:space="preserve"> Запорная и регулирующая арматура должна обеспечивать раздельное включение (выключение) и регулирование теплоотдачи приборов отопления, размещенных в верхней, средней и нижней зонах теплицы.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4.15.</w:t>
      </w:r>
      <w:r>
        <w:t xml:space="preserve"> Расчет вентиляции теплиц след</w:t>
      </w:r>
      <w:bookmarkStart w:id="141" w:name="OCRUncertain172"/>
      <w:r>
        <w:t>у</w:t>
      </w:r>
      <w:bookmarkEnd w:id="141"/>
      <w:r>
        <w:t xml:space="preserve">ет производить с учетом удаления </w:t>
      </w:r>
      <w:bookmarkStart w:id="142" w:name="OCRUncertain174"/>
      <w:r>
        <w:t>теплоизбытков</w:t>
      </w:r>
      <w:bookmarkEnd w:id="142"/>
      <w:r>
        <w:t xml:space="preserve"> от солнечной радиации в теплый период года.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4.16.</w:t>
      </w:r>
      <w:r>
        <w:t xml:space="preserve"> В теплицах необходимо предусматривать, как правило, естественную вентиляцию. Если она не обеспечивает требуемых параметров внутреннего воздуха, д</w:t>
      </w:r>
      <w:r>
        <w:t>опускается применять смешанную вентиляцию (с естественным и механическим побуждением) и испарительное охлаждение.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4.17.</w:t>
      </w:r>
      <w:r>
        <w:t xml:space="preserve"> Проемы для естественной вентиляции (притока и удаления воздуха) в многопролетных теплицах шириной свыше</w:t>
      </w:r>
      <w:r>
        <w:rPr>
          <w:noProof/>
        </w:rPr>
        <w:t xml:space="preserve"> 25</w:t>
      </w:r>
      <w:r>
        <w:t xml:space="preserve"> м следует располагать в покрытии</w:t>
      </w:r>
      <w:r>
        <w:rPr>
          <w:noProof/>
        </w:rPr>
        <w:t xml:space="preserve"> —</w:t>
      </w:r>
      <w:r>
        <w:t xml:space="preserve"> вдоль коньков, во всех однопролетных и многопролетных шириной менее</w:t>
      </w:r>
      <w:r>
        <w:rPr>
          <w:noProof/>
        </w:rPr>
        <w:t xml:space="preserve"> 25</w:t>
      </w:r>
      <w:r>
        <w:t xml:space="preserve"> м—в наружных стенах (для притока) и в покрытии (для удаления)</w:t>
      </w:r>
      <w:r>
        <w:rPr>
          <w:noProof/>
        </w:rPr>
        <w:t xml:space="preserve"> </w:t>
      </w:r>
      <w:bookmarkStart w:id="143" w:name="OCRUncertain175"/>
      <w:r>
        <w:rPr>
          <w:noProof/>
        </w:rPr>
        <w:t xml:space="preserve">. </w:t>
      </w:r>
      <w:r>
        <w:t>Открывание</w:t>
      </w:r>
      <w:bookmarkEnd w:id="143"/>
      <w:r>
        <w:t xml:space="preserve"> и закрывание вентиляционных проемов должно быть механизировано.</w:t>
      </w:r>
    </w:p>
    <w:p w:rsidR="00000000" w:rsidRDefault="007B7584">
      <w:pPr>
        <w:ind w:firstLine="284"/>
        <w:jc w:val="both"/>
      </w:pPr>
      <w:r>
        <w:t>В теплицах с воздушным отоплением необхо</w:t>
      </w:r>
      <w:r>
        <w:t>димо предусматривать использование вентиляторов отопления для вентиляции в теплый период года.</w:t>
      </w:r>
    </w:p>
    <w:p w:rsidR="00000000" w:rsidRDefault="007B7584">
      <w:pPr>
        <w:ind w:firstLine="284"/>
        <w:jc w:val="both"/>
      </w:pPr>
      <w:r>
        <w:t xml:space="preserve">Вентиляция парников осуществляется подниманием </w:t>
      </w:r>
      <w:bookmarkStart w:id="144" w:name="OCRUncertain176"/>
      <w:r>
        <w:t>(открыванием)</w:t>
      </w:r>
      <w:bookmarkEnd w:id="144"/>
      <w:r>
        <w:t xml:space="preserve"> парниковых рам или покрытия из пленки.</w:t>
      </w:r>
    </w:p>
    <w:p w:rsidR="00000000" w:rsidRDefault="007B7584">
      <w:pPr>
        <w:ind w:firstLine="284"/>
        <w:jc w:val="both"/>
      </w:pPr>
      <w:r>
        <w:rPr>
          <w:b/>
          <w:noProof/>
        </w:rPr>
        <w:t>4.18.</w:t>
      </w:r>
      <w:r>
        <w:t xml:space="preserve"> В однопролетных теплицах площади приточных и вытяжных проемов для естественной вентиляции следует определять расчетом.</w:t>
      </w:r>
    </w:p>
    <w:p w:rsidR="00000000" w:rsidRDefault="007B7584">
      <w:pPr>
        <w:ind w:firstLine="284"/>
        <w:jc w:val="both"/>
      </w:pPr>
      <w:r>
        <w:t>В многопролетных теплицах, предназначенных для выращивания овощей, общую площадь проемов для естественной вентиляции необходимо принимать: в районах севернее</w:t>
      </w:r>
      <w:r>
        <w:rPr>
          <w:noProof/>
        </w:rPr>
        <w:t xml:space="preserve"> 60°</w:t>
      </w:r>
      <w:r>
        <w:t xml:space="preserve"> с. </w:t>
      </w:r>
      <w:bookmarkStart w:id="145" w:name="OCRUncertain177"/>
      <w:r>
        <w:t>ш.—</w:t>
      </w:r>
      <w:bookmarkEnd w:id="145"/>
      <w:r>
        <w:t>не мене</w:t>
      </w:r>
      <w:bookmarkStart w:id="146" w:name="OCRUncertain178"/>
      <w:r>
        <w:t>е</w:t>
      </w:r>
      <w:bookmarkEnd w:id="146"/>
      <w:r>
        <w:rPr>
          <w:noProof/>
        </w:rPr>
        <w:t xml:space="preserve"> 10%, </w:t>
      </w:r>
      <w:r>
        <w:t>в остальны</w:t>
      </w:r>
      <w:r>
        <w:t>х районах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20 %</w:t>
      </w:r>
      <w:r>
        <w:t xml:space="preserve"> общей поверхности ограждения теплиц.</w:t>
      </w:r>
    </w:p>
    <w:p w:rsidR="00000000" w:rsidRDefault="007B7584">
      <w:pPr>
        <w:ind w:firstLine="284"/>
        <w:jc w:val="both"/>
      </w:pPr>
      <w:r>
        <w:t>В многопролетных теплицах, предназначенных для выращивания рассады (высаживаемой в открытый грунт)</w:t>
      </w:r>
      <w:r>
        <w:rPr>
          <w:noProof/>
        </w:rPr>
        <w:t xml:space="preserve"> </w:t>
      </w:r>
      <w:bookmarkStart w:id="147" w:name="OCRUncertain179"/>
      <w:r>
        <w:rPr>
          <w:noProof/>
        </w:rPr>
        <w:t>,</w:t>
      </w:r>
      <w:bookmarkEnd w:id="147"/>
      <w:r>
        <w:t xml:space="preserve"> общую площадь проемов для естественной вентиляции следует принимать в соответствии с требованиями технологии.</w:t>
      </w:r>
    </w:p>
    <w:p w:rsidR="00000000" w:rsidRDefault="007B7584">
      <w:pPr>
        <w:ind w:firstLine="284"/>
        <w:jc w:val="both"/>
        <w:rPr>
          <w:b/>
        </w:rPr>
      </w:pPr>
    </w:p>
    <w:p w:rsidR="00000000" w:rsidRDefault="007B7584">
      <w:pPr>
        <w:ind w:firstLine="284"/>
        <w:jc w:val="center"/>
        <w:rPr>
          <w:b/>
        </w:rPr>
      </w:pPr>
      <w:r>
        <w:rPr>
          <w:b/>
          <w:noProof/>
        </w:rPr>
        <w:t>5.</w:t>
      </w:r>
      <w:r>
        <w:rPr>
          <w:b/>
        </w:rPr>
        <w:t xml:space="preserve"> ЭЛЕКТРОТЕХНИЧЕСКИЕ УСТРОЙСТВА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5.1.</w:t>
      </w:r>
      <w:r>
        <w:t xml:space="preserve"> Электротехнические устройства следует проектировать в соответствии с Правилами устройства электроустановок </w:t>
      </w:r>
      <w:bookmarkStart w:id="148" w:name="OCRUncertain180"/>
      <w:r>
        <w:t>(ПУЭ)</w:t>
      </w:r>
      <w:bookmarkEnd w:id="148"/>
      <w:r>
        <w:t>, утвержденными в установленном порядке.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  <w:rPr>
          <w:noProof/>
        </w:rPr>
      </w:pPr>
      <w:r>
        <w:rPr>
          <w:b/>
          <w:noProof/>
        </w:rPr>
        <w:t>5.2.</w:t>
      </w:r>
      <w:r>
        <w:t xml:space="preserve"> Катего</w:t>
      </w:r>
      <w:r>
        <w:t>рии электроприемников по обеспечению надежности электроснабжения теплиц и парников необходимо принимать в соответствии с требованиями норм технологического проектирования, утвержденных в установленном порядке</w:t>
      </w:r>
      <w:r>
        <w:rPr>
          <w:noProof/>
        </w:rPr>
        <w:t>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5.3.</w:t>
      </w:r>
      <w:r>
        <w:t xml:space="preserve"> В проездах теплиц и коридорах следует предусматривать искусственное освещение преимущ</w:t>
      </w:r>
      <w:bookmarkStart w:id="149" w:name="OCRUncertain182"/>
      <w:r>
        <w:t>е</w:t>
      </w:r>
      <w:bookmarkEnd w:id="149"/>
      <w:r>
        <w:t>ственно люминесцентными лампами; освещенность на уровне пола должна быть не более</w:t>
      </w:r>
      <w:r>
        <w:rPr>
          <w:noProof/>
        </w:rPr>
        <w:t xml:space="preserve"> 10</w:t>
      </w:r>
      <w:r>
        <w:t xml:space="preserve"> </w:t>
      </w:r>
      <w:bookmarkStart w:id="150" w:name="OCRUncertain183"/>
      <w:r>
        <w:t>лк.</w:t>
      </w:r>
      <w:bookmarkEnd w:id="150"/>
    </w:p>
    <w:p w:rsidR="00000000" w:rsidRDefault="007B7584">
      <w:pPr>
        <w:ind w:firstLine="284"/>
        <w:jc w:val="both"/>
      </w:pPr>
      <w:r>
        <w:rPr>
          <w:b/>
          <w:noProof/>
        </w:rPr>
        <w:t>5.4.</w:t>
      </w:r>
      <w:r>
        <w:t xml:space="preserve"> Облучение растений должно осуществляться высокоэффективными </w:t>
      </w:r>
      <w:bookmarkStart w:id="151" w:name="OCRUncertain184"/>
      <w:r>
        <w:t>облучательными</w:t>
      </w:r>
      <w:bookmarkEnd w:id="151"/>
      <w:r>
        <w:t xml:space="preserve"> устройст</w:t>
      </w:r>
      <w:r>
        <w:t>вами в соответствии с требованиями</w:t>
      </w:r>
      <w:r>
        <w:rPr>
          <w:noProof/>
        </w:rPr>
        <w:t xml:space="preserve"> </w:t>
      </w:r>
      <w:r>
        <w:t>норм технологического проектирования, утвержденных в установленном порядке</w:t>
      </w:r>
      <w:r>
        <w:rPr>
          <w:noProof/>
        </w:rPr>
        <w:t xml:space="preserve">. </w:t>
      </w:r>
      <w:r>
        <w:t xml:space="preserve">Расстояние между облучательными устройствами и высота их подвески должны определяться расчетом. 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  <w:r>
        <w:rPr>
          <w:b/>
          <w:noProof/>
        </w:rPr>
        <w:t>5.5.</w:t>
      </w:r>
      <w:r>
        <w:t xml:space="preserve"> Прокладку распределительных сетей </w:t>
      </w:r>
      <w:r>
        <w:rPr>
          <w:i/>
        </w:rPr>
        <w:t>в</w:t>
      </w:r>
      <w:r>
        <w:t xml:space="preserve"> теплицах из кабелей и проводов в пластмассовых трубах следует выполнять открыто на лотках.</w:t>
      </w: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both"/>
      </w:pPr>
    </w:p>
    <w:p w:rsidR="00000000" w:rsidRDefault="007B7584">
      <w:pPr>
        <w:ind w:firstLine="284"/>
        <w:jc w:val="right"/>
        <w:rPr>
          <w:b/>
        </w:rPr>
      </w:pPr>
      <w:r>
        <w:rPr>
          <w:b/>
        </w:rPr>
        <w:t>ПРИЛОЖЕНИЕ</w:t>
      </w:r>
      <w:r>
        <w:rPr>
          <w:b/>
          <w:noProof/>
        </w:rPr>
        <w:t xml:space="preserve"> 1 </w:t>
      </w:r>
    </w:p>
    <w:p w:rsidR="00000000" w:rsidRDefault="007B7584">
      <w:pPr>
        <w:ind w:firstLine="284"/>
        <w:jc w:val="right"/>
        <w:rPr>
          <w:b/>
        </w:rPr>
      </w:pPr>
    </w:p>
    <w:p w:rsidR="00000000" w:rsidRDefault="007B7584">
      <w:pPr>
        <w:ind w:firstLine="284"/>
        <w:jc w:val="right"/>
        <w:rPr>
          <w:b/>
          <w:i/>
        </w:rPr>
      </w:pPr>
      <w:r>
        <w:rPr>
          <w:b/>
          <w:i/>
        </w:rPr>
        <w:t>Обязательное</w:t>
      </w:r>
    </w:p>
    <w:p w:rsidR="00000000" w:rsidRDefault="007B7584">
      <w:pPr>
        <w:ind w:firstLine="284"/>
        <w:jc w:val="both"/>
        <w:rPr>
          <w:b/>
        </w:rPr>
      </w:pPr>
    </w:p>
    <w:p w:rsidR="00000000" w:rsidRDefault="007B7584">
      <w:pPr>
        <w:ind w:firstLine="284"/>
        <w:jc w:val="center"/>
        <w:rPr>
          <w:b/>
        </w:rPr>
      </w:pPr>
      <w:r>
        <w:rPr>
          <w:b/>
        </w:rPr>
        <w:t xml:space="preserve">ПРОФИЛЬ </w:t>
      </w:r>
      <w:bookmarkStart w:id="152" w:name="OCRUncertain185"/>
      <w:r>
        <w:rPr>
          <w:b/>
        </w:rPr>
        <w:t>П</w:t>
      </w:r>
      <w:bookmarkEnd w:id="152"/>
      <w:r>
        <w:rPr>
          <w:b/>
        </w:rPr>
        <w:t>ОКРЫТИЯ И СХЕМЫ РАСПРЕДЕЛЕНИЯ СНЕГОВОЙ</w:t>
      </w:r>
    </w:p>
    <w:p w:rsidR="00000000" w:rsidRDefault="007B7584">
      <w:pPr>
        <w:ind w:firstLine="284"/>
        <w:jc w:val="center"/>
        <w:rPr>
          <w:b/>
        </w:rPr>
      </w:pPr>
      <w:r>
        <w:rPr>
          <w:b/>
        </w:rPr>
        <w:t xml:space="preserve"> НАГРУЗКИ</w:t>
      </w:r>
    </w:p>
    <w:p w:rsidR="00000000" w:rsidRDefault="007B7584">
      <w:pPr>
        <w:ind w:firstLine="284"/>
        <w:jc w:val="center"/>
        <w:rPr>
          <w:b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7B7584">
            <w:pPr>
              <w:jc w:val="center"/>
              <w:rPr>
                <w:b/>
              </w:rPr>
            </w:pPr>
            <w:r>
              <w:rPr>
                <w:b/>
              </w:rPr>
              <w:t>Схемы распределения снеговой нагрузки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7B7584">
            <w:pPr>
              <w:jc w:val="center"/>
              <w:rPr>
                <w:b/>
              </w:rPr>
            </w:pPr>
            <w:r>
              <w:rPr>
                <w:b/>
              </w:rPr>
              <w:t>Указани</w:t>
            </w:r>
            <w:bookmarkStart w:id="153" w:name="OCRUncertain186"/>
            <w:r>
              <w:rPr>
                <w:b/>
              </w:rPr>
              <w:t>я</w:t>
            </w:r>
            <w:bookmarkEnd w:id="153"/>
            <w:r>
              <w:rPr>
                <w:b/>
              </w:rPr>
              <w:t xml:space="preserve"> п</w:t>
            </w:r>
            <w:r>
              <w:rPr>
                <w:b/>
              </w:rPr>
              <w:t>о определению коэффициента 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</w:tcBorders>
          </w:tcPr>
          <w:p w:rsidR="00000000" w:rsidRDefault="007B7584">
            <w:pPr>
              <w:ind w:firstLine="284"/>
            </w:pPr>
            <w:bookmarkStart w:id="154" w:name="OCRUncertain187"/>
            <w:r>
              <w:rPr>
                <w:lang w:val="en-US"/>
              </w:rPr>
              <w:t xml:space="preserve"> </w:t>
            </w:r>
            <w:r>
              <w:t>Однопролетны</w:t>
            </w:r>
            <w:bookmarkEnd w:id="154"/>
            <w:r>
              <w:t>е т</w:t>
            </w:r>
            <w:bookmarkStart w:id="155" w:name="OCRUncertain188"/>
            <w:r>
              <w:t>е</w:t>
            </w:r>
            <w:bookmarkEnd w:id="155"/>
            <w:r>
              <w:t xml:space="preserve">плицы </w:t>
            </w:r>
          </w:p>
          <w:p w:rsidR="00000000" w:rsidRDefault="007B7584">
            <w:pPr>
              <w:rPr>
                <w:lang w:val="en-US"/>
              </w:rPr>
            </w:pPr>
            <w:r>
              <w:object w:dxaOrig="8895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81.75pt" o:ole="">
                  <v:imagedata r:id="rId4" o:title=""/>
                </v:shape>
                <o:OLEObject Type="Embed" ProgID="MSPhotoEd.3" ShapeID="_x0000_i1025" DrawAspect="Content" ObjectID="_1427227718" r:id="rId5"/>
              </w:object>
            </w:r>
          </w:p>
          <w:p w:rsidR="00000000" w:rsidRDefault="007B7584">
            <w:r>
              <w:object w:dxaOrig="9795" w:dyaOrig="10455">
                <v:shape id="_x0000_i1026" type="#_x0000_t75" style="width:180pt;height:192pt" o:ole="">
                  <v:imagedata r:id="rId6" o:title=""/>
                </v:shape>
                <o:OLEObject Type="Embed" ProgID="MSPhotoEd.3" ShapeID="_x0000_i1026" DrawAspect="Content" ObjectID="_1427227719" r:id="rId7"/>
              </w:object>
            </w:r>
          </w:p>
        </w:tc>
        <w:tc>
          <w:tcPr>
            <w:tcW w:w="3402" w:type="dxa"/>
            <w:tcBorders>
              <w:top w:val="nil"/>
            </w:tcBorders>
          </w:tcPr>
          <w:p w:rsidR="00000000" w:rsidRDefault="007B7584">
            <w:pPr>
              <w:jc w:val="center"/>
              <w:rPr>
                <w:lang w:val="en-US"/>
              </w:rPr>
            </w:pPr>
          </w:p>
          <w:p w:rsidR="00000000" w:rsidRDefault="007B7584">
            <w:pPr>
              <w:jc w:val="center"/>
              <w:rPr>
                <w:lang w:val="en-US"/>
              </w:rPr>
            </w:pPr>
          </w:p>
          <w:p w:rsidR="00000000" w:rsidRDefault="007B7584">
            <w:pPr>
              <w:jc w:val="center"/>
              <w:rPr>
                <w:lang w:val="en-US"/>
              </w:rPr>
            </w:pPr>
          </w:p>
          <w:p w:rsidR="00000000" w:rsidRDefault="007B7584">
            <w:pPr>
              <w:jc w:val="center"/>
              <w:rPr>
                <w:noProof/>
              </w:rPr>
            </w:pPr>
            <w:r>
              <w:t>с</w:t>
            </w:r>
            <w:bookmarkStart w:id="156" w:name="OCRUncertain200"/>
            <w:r>
              <w:t>=</w:t>
            </w:r>
            <w:bookmarkEnd w:id="156"/>
            <w:r>
              <w:t>1 при</w:t>
            </w:r>
            <w:r>
              <w:rPr>
                <w:lang w:val="en-US"/>
              </w:rPr>
              <w:t xml:space="preserve"> </w:t>
            </w:r>
            <w:bookmarkStart w:id="157" w:name="OCRUncertain201"/>
            <w:r>
              <w:rPr>
                <w:lang w:val="en-US"/>
              </w:rPr>
              <w:sym w:font="Symbol" w:char="F061"/>
            </w:r>
            <w:bookmarkEnd w:id="157"/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sym w:font="Courier New" w:char="2264"/>
            </w:r>
            <w:r>
              <w:rPr>
                <w:noProof/>
              </w:rPr>
              <w:t xml:space="preserve"> 25°; </w:t>
            </w:r>
          </w:p>
          <w:p w:rsidR="00000000" w:rsidRDefault="007B7584">
            <w:pPr>
              <w:jc w:val="center"/>
              <w:rPr>
                <w:lang w:val="en-US"/>
              </w:rPr>
            </w:pPr>
            <w:r>
              <w:t>с=0</w:t>
            </w:r>
            <w:r>
              <w:rPr>
                <w:lang w:val="en-US"/>
              </w:rPr>
              <w:t xml:space="preserve"> </w:t>
            </w:r>
            <w:r>
              <w:t>при</w:t>
            </w:r>
            <w:r>
              <w:rPr>
                <w:lang w:val="en-US"/>
              </w:rPr>
              <w:t xml:space="preserve"> </w:t>
            </w:r>
            <w:bookmarkStart w:id="158" w:name="OCRUncertain202"/>
            <w:r>
              <w:rPr>
                <w:lang w:val="en-US"/>
              </w:rPr>
              <w:sym w:font="Symbol" w:char="F061"/>
            </w:r>
            <w:bookmarkEnd w:id="158"/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sym w:font="Courier New" w:char="2265"/>
            </w:r>
            <w:r>
              <w:rPr>
                <w:lang w:val="en-US"/>
              </w:rPr>
              <w:t xml:space="preserve"> 60°</w:t>
            </w:r>
            <w:bookmarkStart w:id="159" w:name="OCRUncertain203"/>
            <w:r>
              <w:rPr>
                <w:lang w:val="en-US"/>
              </w:rPr>
              <w:t xml:space="preserve">; </w:t>
            </w:r>
            <w:bookmarkEnd w:id="159"/>
          </w:p>
          <w:p w:rsidR="00000000" w:rsidRDefault="007B7584">
            <w:pPr>
              <w:jc w:val="center"/>
              <w:rPr>
                <w:lang w:val="en-US"/>
              </w:rPr>
            </w:pPr>
            <w:r>
              <w:t>промеж</w:t>
            </w:r>
            <w:bookmarkStart w:id="160" w:name="OCRUncertain204"/>
            <w:r>
              <w:t>у</w:t>
            </w:r>
            <w:bookmarkEnd w:id="160"/>
            <w:r>
              <w:t>точные значения определяют интерполяцией</w:t>
            </w:r>
          </w:p>
          <w:p w:rsidR="00000000" w:rsidRDefault="007B7584">
            <w:pPr>
              <w:jc w:val="center"/>
              <w:rPr>
                <w:lang w:val="en-US"/>
              </w:rPr>
            </w:pPr>
          </w:p>
          <w:p w:rsidR="00000000" w:rsidRDefault="007B7584">
            <w:pPr>
              <w:jc w:val="center"/>
              <w:rPr>
                <w:noProof/>
              </w:rPr>
            </w:pPr>
            <w:r>
              <w:t xml:space="preserve"> </w:t>
            </w: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noProof/>
              </w:rPr>
              <w:t xml:space="preserve"> =1,25;</w:t>
            </w:r>
          </w:p>
          <w:p w:rsidR="00000000" w:rsidRDefault="007B758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bookmarkStart w:id="161" w:name="OCRUncertain206"/>
            <w:r>
              <w:rPr>
                <w:lang w:val="en-US"/>
              </w:rPr>
              <w:t>c</w:t>
            </w:r>
            <w:bookmarkEnd w:id="161"/>
            <w:r>
              <w:rPr>
                <w:vertAlign w:val="subscript"/>
                <w:lang w:val="en-US"/>
              </w:rPr>
              <w:t>2</w:t>
            </w:r>
            <w:r>
              <w:rPr>
                <w:noProof/>
              </w:rPr>
              <w:t xml:space="preserve"> = 0,75</w:t>
            </w:r>
          </w:p>
          <w:p w:rsidR="00000000" w:rsidRDefault="007B758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bookmarkStart w:id="162" w:name="OCRUncertain207"/>
          </w:p>
          <w:p w:rsidR="00000000" w:rsidRDefault="007B758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i/>
                <w:noProof/>
              </w:rPr>
              <w:t>l</w:t>
            </w:r>
            <w:r>
              <w:rPr>
                <w:noProof/>
              </w:rPr>
              <w:t xml:space="preserve"> </w:t>
            </w:r>
          </w:p>
          <w:bookmarkEnd w:id="162"/>
          <w:p w:rsidR="00000000" w:rsidRDefault="007B7584">
            <w:pPr>
              <w:jc w:val="center"/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noProof/>
                <w:vertAlign w:val="subscript"/>
              </w:rPr>
              <w:t>3</w:t>
            </w:r>
            <w:r>
              <w:rPr>
                <w:noProof/>
              </w:rPr>
              <w:t xml:space="preserve"> =-------- ,</w:t>
            </w:r>
          </w:p>
          <w:p w:rsidR="00000000" w:rsidRDefault="007B758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 8</w:t>
            </w:r>
            <w:r>
              <w:rPr>
                <w:noProof/>
              </w:rPr>
              <w:sym w:font="Symbol" w:char="F0A6"/>
            </w:r>
          </w:p>
          <w:p w:rsidR="00000000" w:rsidRDefault="007B7584">
            <w:pPr>
              <w:jc w:val="center"/>
              <w:rPr>
                <w:noProof/>
              </w:rPr>
            </w:pPr>
          </w:p>
          <w:p w:rsidR="00000000" w:rsidRDefault="007B7584">
            <w:pPr>
              <w:jc w:val="center"/>
              <w:rPr>
                <w:noProof/>
              </w:rPr>
            </w:pPr>
            <w:r>
              <w:t>но не более</w:t>
            </w:r>
            <w:r>
              <w:rPr>
                <w:noProof/>
              </w:rPr>
              <w:t xml:space="preserve"> 1</w:t>
            </w:r>
            <w:r>
              <w:t xml:space="preserve"> и не м</w:t>
            </w:r>
            <w:bookmarkStart w:id="163" w:name="OCRUncertain210"/>
            <w:r>
              <w:t>е</w:t>
            </w:r>
            <w:bookmarkEnd w:id="163"/>
            <w:r>
              <w:t>нее</w:t>
            </w:r>
            <w:r>
              <w:rPr>
                <w:noProof/>
              </w:rPr>
              <w:t xml:space="preserve"> 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6" w:type="dxa"/>
          </w:tcPr>
          <w:p w:rsidR="00000000" w:rsidRDefault="007B7584">
            <w:pPr>
              <w:ind w:firstLine="284"/>
              <w:rPr>
                <w:lang w:val="en-US"/>
              </w:rPr>
            </w:pPr>
            <w:bookmarkStart w:id="164" w:name="OCRUncertain211"/>
            <w:r>
              <w:rPr>
                <w:lang w:val="en-US"/>
              </w:rPr>
              <w:t xml:space="preserve">  </w:t>
            </w:r>
            <w:r>
              <w:t>Многопролетны</w:t>
            </w:r>
            <w:bookmarkEnd w:id="164"/>
            <w:r>
              <w:t>е т</w:t>
            </w:r>
            <w:bookmarkStart w:id="165" w:name="OCRUncertain212"/>
            <w:r>
              <w:t>е</w:t>
            </w:r>
            <w:bookmarkEnd w:id="165"/>
            <w:r>
              <w:t>пли</w:t>
            </w:r>
            <w:bookmarkStart w:id="166" w:name="OCRUncertain213"/>
            <w:r>
              <w:t>ц</w:t>
            </w:r>
            <w:bookmarkEnd w:id="166"/>
            <w:r>
              <w:t xml:space="preserve">ы </w:t>
            </w:r>
          </w:p>
          <w:p w:rsidR="00000000" w:rsidRDefault="007B7584">
            <w:pPr>
              <w:ind w:firstLine="284"/>
              <w:rPr>
                <w:i/>
                <w:noProof/>
              </w:rPr>
            </w:pPr>
            <w:r>
              <w:rPr>
                <w:lang w:val="en-US"/>
              </w:rPr>
              <w:pict>
                <v:shape id="_x0000_i1027" type="#_x0000_t75" style="width:152.25pt;height:154.5pt">
                  <v:imagedata r:id="rId8" o:title=""/>
                </v:shape>
              </w:pict>
            </w:r>
          </w:p>
        </w:tc>
        <w:tc>
          <w:tcPr>
            <w:tcW w:w="3402" w:type="dxa"/>
          </w:tcPr>
          <w:p w:rsidR="00000000" w:rsidRDefault="007B7584">
            <w:pPr>
              <w:jc w:val="center"/>
              <w:rPr>
                <w:i/>
                <w:lang w:val="en-US"/>
              </w:rPr>
            </w:pPr>
            <w:bookmarkStart w:id="167" w:name="OCRUncertain222"/>
          </w:p>
          <w:p w:rsidR="00000000" w:rsidRDefault="007B7584">
            <w:pPr>
              <w:jc w:val="center"/>
              <w:rPr>
                <w:i/>
                <w:lang w:val="en-US"/>
              </w:rPr>
            </w:pPr>
          </w:p>
          <w:p w:rsidR="00000000" w:rsidRDefault="007B7584">
            <w:pPr>
              <w:jc w:val="center"/>
              <w:rPr>
                <w:i/>
                <w:lang w:val="en-US"/>
              </w:rPr>
            </w:pPr>
          </w:p>
          <w:p w:rsidR="00000000" w:rsidRDefault="007B7584">
            <w:pPr>
              <w:jc w:val="center"/>
              <w:rPr>
                <w:i/>
                <w:lang w:val="en-US"/>
              </w:rPr>
            </w:pPr>
          </w:p>
          <w:p w:rsidR="00000000" w:rsidRDefault="007B7584">
            <w:pPr>
              <w:jc w:val="center"/>
              <w:rPr>
                <w:i/>
                <w:lang w:val="en-US"/>
              </w:rPr>
            </w:pPr>
          </w:p>
          <w:bookmarkEnd w:id="167"/>
          <w:p w:rsidR="00000000" w:rsidRDefault="007B75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i/>
              </w:rPr>
              <w:t>=</w:t>
            </w:r>
            <w:bookmarkStart w:id="168" w:name="OCRUncertain223"/>
            <w:r>
              <w:rPr>
                <w:lang w:val="en-US"/>
              </w:rPr>
              <w:t>1</w:t>
            </w:r>
          </w:p>
          <w:p w:rsidR="00000000" w:rsidRDefault="007B7584">
            <w:pPr>
              <w:jc w:val="center"/>
              <w:rPr>
                <w:lang w:val="en-US"/>
              </w:rPr>
            </w:pPr>
          </w:p>
          <w:bookmarkEnd w:id="168"/>
          <w:p w:rsidR="00000000" w:rsidRDefault="007B7584">
            <w:pPr>
              <w:jc w:val="center"/>
              <w:rPr>
                <w:noProof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5</w:t>
            </w:r>
            <w:r>
              <w:t xml:space="preserve"> </w:t>
            </w:r>
            <w:bookmarkStart w:id="169" w:name="OCRUncertain224"/>
            <w:r>
              <w:t>=</w:t>
            </w:r>
            <w:bookmarkEnd w:id="169"/>
            <w:r>
              <w:t>1,3</w:t>
            </w:r>
            <w:bookmarkStart w:id="170" w:name="OCRUncertain225"/>
            <w:r>
              <w:rPr>
                <w:noProof/>
              </w:rPr>
              <w:t>+</w:t>
            </w:r>
            <w:bookmarkEnd w:id="170"/>
            <w:r>
              <w:rPr>
                <w:noProof/>
              </w:rPr>
              <w:t xml:space="preserve"> 0,07</w:t>
            </w:r>
            <w:bookmarkStart w:id="171" w:name="OCRUncertain226"/>
            <w:r>
              <w:rPr>
                <w:i/>
                <w:noProof/>
              </w:rPr>
              <w:t xml:space="preserve">l </w:t>
            </w:r>
            <w:r>
              <w:rPr>
                <w:noProof/>
              </w:rPr>
              <w:t>;</w:t>
            </w:r>
          </w:p>
          <w:p w:rsidR="00000000" w:rsidRDefault="007B758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bookmarkEnd w:id="171"/>
            <w:r>
              <w:rPr>
                <w:noProof/>
              </w:rPr>
              <w:t>c</w:t>
            </w:r>
            <w:r>
              <w:rPr>
                <w:noProof/>
                <w:vertAlign w:val="subscript"/>
              </w:rPr>
              <w:t>6</w:t>
            </w:r>
            <w:r>
              <w:rPr>
                <w:noProof/>
              </w:rPr>
              <w:t xml:space="preserve">= 1,7 -0,07/ </w:t>
            </w:r>
          </w:p>
          <w:p w:rsidR="00000000" w:rsidRDefault="007B7584">
            <w:pPr>
              <w:jc w:val="center"/>
            </w:pPr>
            <w:r>
              <w:t>(при</w:t>
            </w:r>
            <w:bookmarkStart w:id="172" w:name="OCRUncertain228"/>
            <w:r>
              <w:rPr>
                <w:lang w:val="en-US"/>
              </w:rPr>
              <w:t xml:space="preserve"> </w:t>
            </w:r>
            <w:r>
              <w:rPr>
                <w:noProof/>
              </w:rPr>
              <w:t>/</w:t>
            </w:r>
            <w:bookmarkEnd w:id="172"/>
            <w:r>
              <w:rPr>
                <w:noProof/>
              </w:rPr>
              <w:t>=3</w:t>
            </w:r>
            <w:r>
              <w:t>-12м)</w:t>
            </w:r>
          </w:p>
        </w:tc>
      </w:tr>
    </w:tbl>
    <w:p w:rsidR="00000000" w:rsidRDefault="007B7584">
      <w:pPr>
        <w:ind w:firstLine="284"/>
      </w:pPr>
    </w:p>
    <w:p w:rsidR="00000000" w:rsidRDefault="007B7584">
      <w:pPr>
        <w:ind w:firstLine="284"/>
        <w:sectPr w:rsidR="00000000">
          <w:type w:val="continuous"/>
          <w:pgSz w:w="11907" w:h="16840" w:code="9"/>
          <w:pgMar w:top="1440" w:right="1797" w:bottom="1440" w:left="1797" w:header="720" w:footer="720" w:gutter="0"/>
          <w:cols w:space="240"/>
          <w:noEndnote/>
        </w:sectPr>
      </w:pPr>
    </w:p>
    <w:p w:rsidR="00000000" w:rsidRDefault="007B7584">
      <w:pPr>
        <w:ind w:firstLine="284"/>
        <w:jc w:val="right"/>
        <w:rPr>
          <w:b/>
        </w:rPr>
      </w:pPr>
      <w:r>
        <w:rPr>
          <w:b/>
        </w:rPr>
        <w:t>ПРИЛОЖЕНИЕ</w:t>
      </w:r>
      <w:r>
        <w:rPr>
          <w:b/>
          <w:noProof/>
        </w:rPr>
        <w:t xml:space="preserve"> 1 </w:t>
      </w:r>
    </w:p>
    <w:p w:rsidR="00000000" w:rsidRDefault="007B7584">
      <w:pPr>
        <w:ind w:firstLine="284"/>
        <w:jc w:val="right"/>
        <w:rPr>
          <w:b/>
          <w:lang w:val="en-US"/>
        </w:rPr>
      </w:pPr>
      <w:r>
        <w:rPr>
          <w:b/>
          <w:i/>
        </w:rPr>
        <w:t>Обязательное</w:t>
      </w:r>
    </w:p>
    <w:p w:rsidR="00000000" w:rsidRDefault="007B7584">
      <w:pPr>
        <w:ind w:firstLine="284"/>
        <w:rPr>
          <w:b/>
          <w:lang w:val="en-US"/>
        </w:rPr>
      </w:pPr>
    </w:p>
    <w:p w:rsidR="00000000" w:rsidRDefault="007B7584">
      <w:pPr>
        <w:ind w:firstLine="284"/>
        <w:jc w:val="center"/>
        <w:rPr>
          <w:b/>
          <w:lang w:val="en-US"/>
        </w:rPr>
      </w:pPr>
      <w:r>
        <w:rPr>
          <w:b/>
        </w:rPr>
        <w:t>РАЙОНИРОВАНИЕ ТЕРРИТОРИИ СССР ПО ВЕСУ СНЕГОВОГО ПОКРОВА ДЛЯ ПРОЕКТИРОВАНИЯ ТЕПЛИЦ</w:t>
      </w:r>
    </w:p>
    <w:p w:rsidR="00000000" w:rsidRDefault="007B7584">
      <w:pPr>
        <w:jc w:val="center"/>
        <w:rPr>
          <w:b/>
          <w:i/>
          <w:lang w:val="en-US"/>
        </w:rPr>
      </w:pPr>
      <w:r>
        <w:rPr>
          <w:b/>
          <w:lang w:val="en-US"/>
        </w:rPr>
        <w:object w:dxaOrig="12555" w:dyaOrig="8160">
          <v:shape id="_x0000_i1028" type="#_x0000_t75" style="width:9in;height:418.5pt" o:ole="">
            <v:imagedata r:id="rId9" o:title=""/>
          </v:shape>
          <o:OLEObject Type="Embed" ProgID="MSPhotoEd.3" ShapeID="_x0000_i1028" DrawAspect="Content" ObjectID="_1427227720" r:id="rId10"/>
        </w:object>
      </w:r>
    </w:p>
    <w:p w:rsidR="00000000" w:rsidRDefault="007B7584">
      <w:pPr>
        <w:ind w:firstLine="284"/>
        <w:rPr>
          <w:b/>
          <w:i/>
          <w:lang w:val="en-US"/>
        </w:rPr>
      </w:pPr>
    </w:p>
    <w:sectPr w:rsidR="00000000">
      <w:pgSz w:w="16840" w:h="11907" w:orient="landscape" w:code="9"/>
      <w:pgMar w:top="1134" w:right="1134" w:bottom="1134" w:left="1134" w:header="720" w:footer="720" w:gutter="0"/>
      <w:cols w:space="24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7584"/>
    <w:rsid w:val="007B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3475</Words>
  <Characters>19812</Characters>
  <Application>Microsoft Office Word</Application>
  <DocSecurity>0</DocSecurity>
  <Lines>165</Lines>
  <Paragraphs>46</Paragraphs>
  <ScaleCrop>false</ScaleCrop>
  <Company>Elcom Ltd</Company>
  <LinksUpToDate>false</LinksUpToDate>
  <CharactersWithSpaces>23241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Государстминый комитет СССР	</dc:title>
  <dc:subject/>
  <dc:creator>CNTI</dc:creator>
  <cp:keywords/>
  <dc:description/>
  <cp:lastModifiedBy>Parhomeiai</cp:lastModifiedBy>
  <cp:revision>2</cp:revision>
  <cp:lastPrinted>1601-01-01T00:00:00Z</cp:lastPrinted>
  <dcterms:created xsi:type="dcterms:W3CDTF">2013-04-11T12:11:00Z</dcterms:created>
  <dcterms:modified xsi:type="dcterms:W3CDTF">2013-04-11T12:11:00Z</dcterms:modified>
</cp:coreProperties>
</file>