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2A8D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508-78 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Инструкция по организации и комплексному осуществлению в городах 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поточного строительства жилых домов, объектов культурно-бытового 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назначения и коммунального хозяйства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1979-01-01</w:t>
      </w:r>
    </w:p>
    <w:p w:rsidR="00000000" w:rsidRDefault="00B12A8D">
      <w:pPr>
        <w:jc w:val="right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РАЗРАБОТАНА в целях внедре</w:t>
      </w:r>
      <w:r>
        <w:rPr>
          <w:rFonts w:ascii="Times New Roman" w:hAnsi="Times New Roman"/>
          <w:sz w:val="20"/>
        </w:rPr>
        <w:t>ния в городах методов комплексного непрерывного планирования и поточного строительства жилых домов, объектов культурно-бытового назначения и коммунального хозяйства и ритмичного ввода их в эксплуатацию, с использованием опыта организации жилищно-гражданского строительства в г. Орле.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ПОДГОТОВЛЕНА Государственным комитетом по гражданскому строительству и архитектуре при Госстрое СССР совместно с Отделом экономики строительства, Отделом организации и нормирования труда, Отделом технического нормирования и ста</w:t>
      </w:r>
      <w:r>
        <w:rPr>
          <w:rFonts w:ascii="Times New Roman" w:hAnsi="Times New Roman"/>
          <w:sz w:val="20"/>
        </w:rPr>
        <w:t xml:space="preserve">ндартизации Госстроя СССР, с участием </w:t>
      </w:r>
      <w:proofErr w:type="spellStart"/>
      <w:r>
        <w:rPr>
          <w:rFonts w:ascii="Times New Roman" w:hAnsi="Times New Roman"/>
          <w:sz w:val="20"/>
        </w:rPr>
        <w:t>ЦНИИП</w:t>
      </w:r>
      <w:proofErr w:type="spellEnd"/>
      <w:r>
        <w:rPr>
          <w:rFonts w:ascii="Times New Roman" w:hAnsi="Times New Roman"/>
          <w:sz w:val="20"/>
        </w:rPr>
        <w:t xml:space="preserve"> градостроительства, </w:t>
      </w:r>
      <w:proofErr w:type="spellStart"/>
      <w:r>
        <w:rPr>
          <w:rFonts w:ascii="Times New Roman" w:hAnsi="Times New Roman"/>
          <w:sz w:val="20"/>
        </w:rPr>
        <w:t>НИИОУС</w:t>
      </w:r>
      <w:proofErr w:type="spellEnd"/>
      <w:r>
        <w:rPr>
          <w:rFonts w:ascii="Times New Roman" w:hAnsi="Times New Roman"/>
          <w:sz w:val="20"/>
        </w:rPr>
        <w:t xml:space="preserve"> при Московском инженерно-строительном институте имени </w:t>
      </w:r>
      <w:proofErr w:type="spellStart"/>
      <w:r>
        <w:rPr>
          <w:rFonts w:ascii="Times New Roman" w:hAnsi="Times New Roman"/>
          <w:sz w:val="20"/>
        </w:rPr>
        <w:t>В.В.Куйбышева</w:t>
      </w:r>
      <w:proofErr w:type="spellEnd"/>
      <w:r>
        <w:rPr>
          <w:rFonts w:ascii="Times New Roman" w:hAnsi="Times New Roman"/>
          <w:sz w:val="20"/>
        </w:rPr>
        <w:t xml:space="preserve"> и с учетом предложений Госплана СССР, строительных министерств СССР и </w:t>
      </w:r>
      <w:proofErr w:type="spellStart"/>
      <w:r>
        <w:rPr>
          <w:rFonts w:ascii="Times New Roman" w:hAnsi="Times New Roman"/>
          <w:sz w:val="20"/>
        </w:rPr>
        <w:t>госстроев</w:t>
      </w:r>
      <w:proofErr w:type="spellEnd"/>
      <w:r>
        <w:rPr>
          <w:rFonts w:ascii="Times New Roman" w:hAnsi="Times New Roman"/>
          <w:sz w:val="20"/>
        </w:rPr>
        <w:t xml:space="preserve"> союзных республик.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Инструкции учтен также опыт </w:t>
      </w:r>
      <w:proofErr w:type="spellStart"/>
      <w:r>
        <w:rPr>
          <w:rFonts w:ascii="Times New Roman" w:hAnsi="Times New Roman"/>
          <w:sz w:val="20"/>
        </w:rPr>
        <w:t>ЦНИИОМТП</w:t>
      </w:r>
      <w:proofErr w:type="spellEnd"/>
      <w:r>
        <w:rPr>
          <w:rFonts w:ascii="Times New Roman" w:hAnsi="Times New Roman"/>
          <w:sz w:val="20"/>
        </w:rPr>
        <w:t xml:space="preserve"> Госстроя СССР, Тульского </w:t>
      </w:r>
      <w:proofErr w:type="spellStart"/>
      <w:r>
        <w:rPr>
          <w:rFonts w:ascii="Times New Roman" w:hAnsi="Times New Roman"/>
          <w:sz w:val="20"/>
        </w:rPr>
        <w:t>КТИ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Минпромстроя</w:t>
      </w:r>
      <w:proofErr w:type="spellEnd"/>
      <w:r>
        <w:rPr>
          <w:rFonts w:ascii="Times New Roman" w:hAnsi="Times New Roman"/>
          <w:sz w:val="20"/>
        </w:rPr>
        <w:t xml:space="preserve"> СССР, </w:t>
      </w:r>
      <w:proofErr w:type="spellStart"/>
      <w:r>
        <w:rPr>
          <w:rFonts w:ascii="Times New Roman" w:hAnsi="Times New Roman"/>
          <w:sz w:val="20"/>
        </w:rPr>
        <w:t>НИИСП</w:t>
      </w:r>
      <w:proofErr w:type="spellEnd"/>
      <w:r>
        <w:rPr>
          <w:rFonts w:ascii="Times New Roman" w:hAnsi="Times New Roman"/>
          <w:sz w:val="20"/>
        </w:rPr>
        <w:t xml:space="preserve"> Госстроя Украинской ССР, </w:t>
      </w:r>
      <w:proofErr w:type="spellStart"/>
      <w:r>
        <w:rPr>
          <w:rFonts w:ascii="Times New Roman" w:hAnsi="Times New Roman"/>
          <w:sz w:val="20"/>
        </w:rPr>
        <w:t>БелТНИЛОЭС</w:t>
      </w:r>
      <w:proofErr w:type="spellEnd"/>
      <w:r>
        <w:rPr>
          <w:rFonts w:ascii="Times New Roman" w:hAnsi="Times New Roman"/>
          <w:sz w:val="20"/>
        </w:rPr>
        <w:t xml:space="preserve"> при Белорусском политехническом институте в части составления проектно-технологической документации при строительстве объектов поточными методам</w:t>
      </w:r>
      <w:r>
        <w:rPr>
          <w:rFonts w:ascii="Times New Roman" w:hAnsi="Times New Roman"/>
          <w:sz w:val="20"/>
        </w:rPr>
        <w:t>и на основе непрерывного планирования.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ВНЕСЕНА </w:t>
      </w:r>
      <w:proofErr w:type="spellStart"/>
      <w:r>
        <w:rPr>
          <w:rFonts w:ascii="Times New Roman" w:hAnsi="Times New Roman"/>
          <w:sz w:val="20"/>
        </w:rPr>
        <w:t>Госгражданстроем</w:t>
      </w:r>
      <w:proofErr w:type="spellEnd"/>
      <w:r>
        <w:rPr>
          <w:rFonts w:ascii="Times New Roman" w:hAnsi="Times New Roman"/>
          <w:sz w:val="20"/>
        </w:rPr>
        <w:t xml:space="preserve"> и Отделом экономики строительства Госстроя СССР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УТВЕРЖДЕНА постановлением Государственного комитета СССР по делам строительства от 30 августа 1978 г. № 172</w:t>
      </w:r>
    </w:p>
    <w:p w:rsidR="00000000" w:rsidRDefault="00B12A8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Для внедрения методов комплексного поточного строительства жилых домов, объектов культурно-бытового назначения и коммунального хозяйства на основе непрерывного планирования, обеспечивающих повышение качества строительства и ритмичный ввод объектов в эксплуатацию</w:t>
      </w:r>
      <w:r>
        <w:rPr>
          <w:rFonts w:ascii="Times New Roman" w:hAnsi="Times New Roman"/>
          <w:sz w:val="20"/>
        </w:rPr>
        <w:t>, а также реализацию генеральных планов городов путем последовательной комплексной застройки городских районов и своевременное завершение строительства размещаемых в них объектов, необходимо обеспечить: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создание в городе службы единого заказчика по строительству подрядным способом жилых домов, объектов культурно-бытового назначения и коммунального хозяйства;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сосредоточение капитальных вложений на строительство этих объектов, подлежащих осуществлению в данном городе, в основном у единого заказчика (в исполко</w:t>
      </w:r>
      <w:r>
        <w:rPr>
          <w:rFonts w:ascii="Times New Roman" w:hAnsi="Times New Roman"/>
          <w:sz w:val="20"/>
        </w:rPr>
        <w:t>ме местного Совета народных депутатов, или у предприятия  (организации) министерства или ведомства, осуществляющего в городе основные объемы строительства объектов производственного и непроизводственного назначения, путем передачи ему в порядке долевого участия капитальных вложений, направляемых на строительство жилых домов, объектов культурно-бытового назначения и коммунального хозяйства предприятиями (организациями), независимо от их ведомственной подчиненности, расположенными в этом городе;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сосредоточени</w:t>
      </w:r>
      <w:r>
        <w:rPr>
          <w:rFonts w:ascii="Times New Roman" w:hAnsi="Times New Roman"/>
          <w:sz w:val="20"/>
        </w:rPr>
        <w:t>е проектных работ для жилищно-гражданского строительства в городе, в основном, в одной проектной организации (генеральный проектировщик) и создание задела проектно-сметной документации на двухлетний объем этого строительства;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объемов строительно-монтажных работ по возведению в городе жилых домов, объектов культурно-бытового назначения и коммунального хозяйства единой подрядной строительно-монтажной организацией (генеральный подрядчик);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осуществление мероприятий по улучшению планирования размещени</w:t>
      </w:r>
      <w:r>
        <w:rPr>
          <w:rFonts w:ascii="Times New Roman" w:hAnsi="Times New Roman"/>
          <w:sz w:val="20"/>
        </w:rPr>
        <w:t>я в городе объектов строительства, а также по совершенствованию управления в области проектирования, производства строительно-монтажных и других градостроительных работ.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ПОДГОТОВКА К ОРГАНИЗАЦИИ КОМПЛЕКСНОГО ПОТОЧНОГО 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СТРОИТЕЛЬСТВА ОБЪЕКТОВ В ГОРОДАХ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 соответствии с очередностью и сроками, определяемыми советами министров союзных республик, исполком Совета народных депутатов принимает решение о создании службы единого заказчика по строительству подрядным способом жилых домов, объектов культурно</w:t>
      </w:r>
      <w:r>
        <w:rPr>
          <w:rFonts w:ascii="Times New Roman" w:hAnsi="Times New Roman"/>
          <w:sz w:val="20"/>
        </w:rPr>
        <w:t>-бытового назначения и коммунального хозяйства (именуемой в дальнейшем единый заказчик - управление (отдел) капитального строительства исполкома).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городах, где функции единого заказчика по строительству жилых домов, объектов культурно-бытового назначения и коммунального хозяйства намечается возложить на предприятие (организацию) министерства или ведомства, служба единого заказчика создается по решению совета министров союзной республики, на территории которой расположен этот город, согласованному с соотве</w:t>
      </w:r>
      <w:r>
        <w:rPr>
          <w:rFonts w:ascii="Times New Roman" w:hAnsi="Times New Roman"/>
          <w:sz w:val="20"/>
        </w:rPr>
        <w:t>тствующим министерством или ведомством СССР.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 тех случаях когда в соответствии с установленным порядком в данном городе при наличии единого заказчика и наряду с ним функции заказчика по строительству жилых домов, объектов культурно-бытового назначения и коммунального хозяйства выполняются предприятиями (организациями) министерств и ведомств СССР, вопросы, связанные с определением сроков начала и завершения их строительства, должны решаться по согласованию с соответствующим исполкомом Совета народных д</w:t>
      </w:r>
      <w:r>
        <w:rPr>
          <w:rFonts w:ascii="Times New Roman" w:hAnsi="Times New Roman"/>
          <w:sz w:val="20"/>
        </w:rPr>
        <w:t>епутатов, в увязке с планами капитального строительства на планируемый период по городу в целом.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Исполком Совета народных депутатов принимает решение о назначении одной из местных проектных организаций, выполняющей основные объемы проектных работ для жилищного, культурно-бытового и коммунального строительства в данном городе, генеральным проектировщиком по этим проектным работам, по согласованию, при необходимости, с министерством (ведомством) - в составе которого находится эта организация, совместно с</w:t>
      </w:r>
      <w:r>
        <w:rPr>
          <w:rFonts w:ascii="Times New Roman" w:hAnsi="Times New Roman"/>
          <w:sz w:val="20"/>
        </w:rPr>
        <w:t xml:space="preserve"> которым осуществляются необходимые мероприятия по укреплению этой проектной организации и ее материально-технической базы.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Функции генерального подрядчика по строительству жилых домов, объектов культурно-бытового назначения и коммунального хозяйства возлагаются на строительно-монтажные тресты, домостроительные комбинаты, не входящие в состав трестов строительно-монтажные управления, или приравненные к ним организации, выполняющие в данном городе основные объемы работ по строительству таких объектов.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.5. Для координации работ по организации и осуществлению комплексного поточного строительства жилых домов, объектов культурно-бытового назначения и коммунального хозяйства на основе непрерывного планирования в городе, в котором создана служба единого заказчика, исполкому Совета народных депутатов рекомендуется образовать по согласованию с соответствующими заинтересованными министерствами и ведомствами Координационный Совет под председательством заместителя Председателя исполкома по капитальному строительств</w:t>
      </w:r>
      <w:r>
        <w:rPr>
          <w:rFonts w:ascii="Times New Roman" w:hAnsi="Times New Roman"/>
          <w:sz w:val="20"/>
        </w:rPr>
        <w:t>у в составе представителей: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городской (областной) плановой комиссии;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управления (отдела) по делам строительства и архитектуры;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единого заказчика;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генерального проектировщика;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генеральных подрядчиков;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) городского отделения Стройбанка СССР. 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Координационному совету следует привлекать к своей работе представителей других организаций, участвующих в проектировании, осуществлении в городе строительства объектов, а также в его финансировании и материально-техническом обеспечении.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ПЛАНИРОВАНИЕ </w:t>
      </w:r>
      <w:r>
        <w:rPr>
          <w:rFonts w:ascii="Times New Roman" w:hAnsi="Times New Roman"/>
          <w:sz w:val="20"/>
        </w:rPr>
        <w:t xml:space="preserve">ПРОЕКТНЫХ И СТРОИТЕЛЬНО-МОНТАЖНЫХ РАБОТ 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РАЗМЕЩЕНИЕ ОБЪЕКТОВ СТРОИТЕЛЬСТВА 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Проектирование застройки городских районов и размещение строительства жилых домов, объектов культурно-бытового назначения и коммунального хозяйства должны осуществляться в соответствии с утвержденными генеральным планом города, проектами детальной планировки и </w:t>
      </w:r>
      <w:r>
        <w:rPr>
          <w:rFonts w:ascii="Times New Roman" w:hAnsi="Times New Roman"/>
          <w:sz w:val="20"/>
        </w:rPr>
        <w:lastRenderedPageBreak/>
        <w:t>проектами застройки жилых районов и микрорайонов, исходя из необходимости последовательного и планомерного развития городских районов и города в целом.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Основой дл</w:t>
      </w:r>
      <w:r>
        <w:rPr>
          <w:rFonts w:ascii="Times New Roman" w:hAnsi="Times New Roman"/>
          <w:sz w:val="20"/>
        </w:rPr>
        <w:t xml:space="preserve">я непрерывного планирования жилищного, культурно-бытового и коммунального строительства в городе должны служить предусмотренные в пятилетних планах экономического и социального развития годовые задания (на планируемый и следующий за ним год). Если следующий за планируемым год приходится на новую пятилетку, объемы строительства в этом году принимаются на уровне планируемого года с последующим уточнением их при составлении плана на следующий год. Годовые объемы непроизводственного строительства на территории </w:t>
      </w:r>
      <w:r>
        <w:rPr>
          <w:rFonts w:ascii="Times New Roman" w:hAnsi="Times New Roman"/>
          <w:sz w:val="20"/>
        </w:rPr>
        <w:t>города должны определяться с учетом объемов этого строительства, подлежащего осуществлению в порядке долевого участия.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Для внедрения в городе комплексного поточного строительства жилых домов, объектов культурно-бытового назначения и коммунального хозяйства на основе непрерывного планирования плановой комиссии и управлению (отделу) по делам строительства и архитектуры исполкома Совета народных депутатов рекомендуется разрабатывать с участием единого заказчика на пятилетний период, для последующего утвер</w:t>
      </w:r>
      <w:r>
        <w:rPr>
          <w:rFonts w:ascii="Times New Roman" w:hAnsi="Times New Roman"/>
          <w:sz w:val="20"/>
        </w:rPr>
        <w:t>ждения исполкомом, план размещения строительства, подлежащего осуществлению в городе подрядным способом, включая строительство жилых домов, объектов культурно-бытового назначения и коммунального хозяйства за счет капитальных вложений, передаваемых единому заказчику предприятиями (организациями) министерств и ведомств в порядке долевого участия.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На основе пятилетнего плана размещения строительства управление (отдел) по делам строительства и архитектуры исполкома Совета народных депутатов совместно с ген</w:t>
      </w:r>
      <w:r>
        <w:rPr>
          <w:rFonts w:ascii="Times New Roman" w:hAnsi="Times New Roman"/>
          <w:sz w:val="20"/>
        </w:rPr>
        <w:t>еральным проектировщиком и с участием единого заказчика, с учетом состояния обеспеченности строительства проектно-планировочной документацией (проекты детальной планировки) и проектно-сметной документацией (технические проекты и рабочие чертежи) обеспечивают разработку проектов и представление на утверждение их в установленные сроки и порядке и предусматривают в проектах планов проектно-изыскательских работ разработку недостающих проектов детальной планировки жилых районов, а также проектов и смет по следую</w:t>
      </w:r>
      <w:r>
        <w:rPr>
          <w:rFonts w:ascii="Times New Roman" w:hAnsi="Times New Roman"/>
          <w:sz w:val="20"/>
        </w:rPr>
        <w:t>щим основным видам городского строительства: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развитие и реконструкция улично-дорожной сети;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развитие и реконструкция головных сооружений и магистральных сетей коммунального хозяйства;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застройка жилых микрорайонов;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строительство отдельных зданий и сооружений культурно-бытового назначения и коммунального хозяйства (районного и общегородского значения);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строительство и реконструкция других объектов, размещаемых на селитебной территории города.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При составлении проектов планов проектно-изыска</w:t>
      </w:r>
      <w:r>
        <w:rPr>
          <w:rFonts w:ascii="Times New Roman" w:hAnsi="Times New Roman"/>
          <w:sz w:val="20"/>
        </w:rPr>
        <w:t>тельских работ следует учитывать необходимость заблаговременной разработки проектно-сметной документации на развитие и реконструкцию улично-дорожной сети, строительство головных сооружений и прокладку магистральных сетей коммунального хозяйства, а также на инженерную подготовку и инженерное оборудование территории жилых микрорайонов в целях опережающего выполнения указанных видов работ с тем, чтобы обеспечить этой документацией объемы градостроительных работ, предусмотренные на планируемый и следующий за ни</w:t>
      </w:r>
      <w:r>
        <w:rPr>
          <w:rFonts w:ascii="Times New Roman" w:hAnsi="Times New Roman"/>
          <w:sz w:val="20"/>
        </w:rPr>
        <w:t>м год.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ДОКУМЕНТАЦИЯ ПО ОРГАНИЗАЦИИ И КОМПЛЕКСНОМУ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ОСУЩЕСТВЛЕНИЮ СТРОИТЕЛЬСТВА В ГОРОДАХ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Для определения последовательности и сроков осуществления всех мероприятий, связанных с переходом в городе на методы комплексного поточного строительства жилых домов, объектов культурно-бытового назначения и коммунального хозяйства, включая разработку проектно-сметной документации, проведение подготовительных мероприятий, выполнение работ по инженерной подготовке застраиваемых территорий, строительство объекто</w:t>
      </w:r>
      <w:r>
        <w:rPr>
          <w:rFonts w:ascii="Times New Roman" w:hAnsi="Times New Roman"/>
          <w:sz w:val="20"/>
        </w:rPr>
        <w:t>в, их приемку и сдачу в эксплуатацию, должен быть разработан по городу в целом комплексный укрупненный сетевой график (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разрабатывается на основе пятилетнего плана размещения строительства в соответствии с установленными плановыми заданиями по вводу в эксплуатацию объектов, направляемыми на эти цели объемами капитальных вложений и строительно-монтажных работ, а также нормативными сроками продолжительности проектирования и строительства объектов.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является основой для последующей разработки св</w:t>
      </w:r>
      <w:r>
        <w:rPr>
          <w:rFonts w:ascii="Times New Roman" w:hAnsi="Times New Roman"/>
          <w:sz w:val="20"/>
        </w:rPr>
        <w:t>одных проектов организации строительства (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>) по городским районам и проектов производства работ (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положения по разработке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>, а также его примерная форма приведены в прил. 1 к настоящей Инструкции.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должен разрабатываться генеральным проектировщиком (с участием единого заказчика и генерального подрядчика) за счет средств на составление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отдельных объектов в составе технических проектов, предусмотренных действующими расценками на оплату проектно-изыскательских работ.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недоста</w:t>
      </w:r>
      <w:r>
        <w:rPr>
          <w:rFonts w:ascii="Times New Roman" w:hAnsi="Times New Roman"/>
          <w:sz w:val="20"/>
        </w:rPr>
        <w:t xml:space="preserve">точности этих средств в случаях больших объемов градостроительных работ, подлежащих отражению в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по городу в целом (а также при разработке сводных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по отдельным городским районам), дополнительные средства на разработку документации (по организации и комплексному осуществлению строительства в городах) должны выделяться генеральному проектировщику единым заказчиком за счет капитальных вложений в пределах установленных ему объемов проектно-изыскательских работ и предусматриваться в планах проектно-изыск</w:t>
      </w:r>
      <w:r>
        <w:rPr>
          <w:rFonts w:ascii="Times New Roman" w:hAnsi="Times New Roman"/>
          <w:sz w:val="20"/>
        </w:rPr>
        <w:t>ательских работ на основе специальных калькуляций.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При организации и осуществлении строительства комплексными поточными методами генеральный проектировщик разрабатывает сводные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по комплексу в целом, вместо их разработки по отдельным объектам, входящим в состав комплекса, за счет средств, предусмотренных действующими расценками на оплату стоимости разработки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отдельных объектов в составе технического (</w:t>
      </w:r>
      <w:proofErr w:type="spellStart"/>
      <w:r>
        <w:rPr>
          <w:rFonts w:ascii="Times New Roman" w:hAnsi="Times New Roman"/>
          <w:sz w:val="20"/>
        </w:rPr>
        <w:t>техно-рабочего</w:t>
      </w:r>
      <w:proofErr w:type="spellEnd"/>
      <w:r>
        <w:rPr>
          <w:rFonts w:ascii="Times New Roman" w:hAnsi="Times New Roman"/>
          <w:sz w:val="20"/>
        </w:rPr>
        <w:t>) проекта.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Сводные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по комплексной застройке городских районов поточными метода</w:t>
      </w:r>
      <w:r>
        <w:rPr>
          <w:rFonts w:ascii="Times New Roman" w:hAnsi="Times New Roman"/>
          <w:sz w:val="20"/>
        </w:rPr>
        <w:t>ми должны составляться в соответствии с требованиями Инструкции по разработке проектов организации строительства и проектов производства работ (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47-74), а также дополнительными требованиями, приведенными в прил. 2 к настоящей Инструкции.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Для комплексной застройки городских районов необходимо разрабатывать сводные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 xml:space="preserve"> наряду с разработкой их по отдельным объектам строительства в соответствии с 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47-74, а также дополнительными требованиями, приведенными в прил. 3 к настоящей Инструкции.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Сводный </w:t>
      </w:r>
      <w:proofErr w:type="spellStart"/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ПР</w:t>
      </w:r>
      <w:proofErr w:type="spellEnd"/>
      <w:r>
        <w:rPr>
          <w:rFonts w:ascii="Times New Roman" w:hAnsi="Times New Roman"/>
          <w:sz w:val="20"/>
        </w:rPr>
        <w:t xml:space="preserve"> по комплексу в целом при поточной организации строительства жилых домов, объектов культурно-бытового назначения и коммунального хозяйства должен разрабатываться генеральным подрядчиком.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тех случаях, когда строительно-монтажные работы по градостроительному комплексу выполняют несколько генеральных подрядчиков, сводный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 xml:space="preserve"> по такому комплексу должен разрабатываться этими организациями под руководством главного управления (управления) по строительству, областного (краевого) объединения или комбината соотв</w:t>
      </w:r>
      <w:r>
        <w:rPr>
          <w:rFonts w:ascii="Times New Roman" w:hAnsi="Times New Roman"/>
          <w:sz w:val="20"/>
        </w:rPr>
        <w:t>етствующего строительного министерства, в ведении которых находятся генеральные подрядчики.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Во избежание непроизводительного расходования средств на проектно-изыскательские работы при разработке проектно-сметной документации на двухлетний объем строительства в городе жилых домов, объектов культурно-бытового назначения и коммунального хозяйства не допускается вносить в утвержденные в установленном порядке проекты изменений, связанные с введением в действие (после утверждения проектов) новых нормативных </w:t>
      </w:r>
      <w:r>
        <w:rPr>
          <w:rFonts w:ascii="Times New Roman" w:hAnsi="Times New Roman"/>
          <w:sz w:val="20"/>
        </w:rPr>
        <w:t>требований к проектированию указанных объектов, и рекомендуется применять эти проекты в первый год строительства без изменений.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ОРГАНИЗАЦИЯ КОМПЛЕКСНОГО ПОТОЧНОГО СТРОИТЕЛЬСТВА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ОБЪЕКТОВ В ГОРОДАХ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В основу организации и осуществления подрядным способом комплексного поточного строительства жилых домов, объектов культурно-бытового назначения и коммунального хозяйства в условиях непрерывного планирования в масштабе города должны закладываться отправные положения, предусмотренные: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застройки го</w:t>
      </w:r>
      <w:r>
        <w:rPr>
          <w:rFonts w:ascii="Times New Roman" w:hAnsi="Times New Roman"/>
          <w:sz w:val="20"/>
        </w:rPr>
        <w:t>рода;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сводными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по городским районам, подлежащим застройке в течение планового периода;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сводными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 xml:space="preserve"> в этих городских районах.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До начала строительства объектов необходимо осуществить организационно-подготовительные мероприятия, выполнить подготовительные </w:t>
      </w:r>
      <w:proofErr w:type="spellStart"/>
      <w:r>
        <w:rPr>
          <w:rFonts w:ascii="Times New Roman" w:hAnsi="Times New Roman"/>
          <w:sz w:val="20"/>
        </w:rPr>
        <w:t>внеплощадочные</w:t>
      </w:r>
      <w:proofErr w:type="spellEnd"/>
      <w:r>
        <w:rPr>
          <w:rFonts w:ascii="Times New Roman" w:hAnsi="Times New Roman"/>
          <w:sz w:val="20"/>
        </w:rPr>
        <w:t xml:space="preserve"> и внутриплощадочные работы в целях создания условий для планомерного развертывания и производства строительно-монтажных работ.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Организационно-подготовительные мероприятия проводятся как по линии единого заказчика, так и по </w:t>
      </w:r>
      <w:r>
        <w:rPr>
          <w:rFonts w:ascii="Times New Roman" w:hAnsi="Times New Roman"/>
          <w:sz w:val="20"/>
        </w:rPr>
        <w:t>линии генерального подрядчика.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К комплексу подготовительных мероприятий по линии единого заказчика относятся: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открытие финансирования строительства;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решение вопросов, связанных с открытием движения транспорта по подъездным дорогам, подачей электроэнергии, а также с переносом и отчуждением существующих городских инженерных сетей;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оформление отвода площадок под застройку, перенос в натуру красных линий застройки, разбивочных осей и отметок;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переселение граждан из домов, сносимых в связи с нам</w:t>
      </w:r>
      <w:r>
        <w:rPr>
          <w:rFonts w:ascii="Times New Roman" w:hAnsi="Times New Roman"/>
          <w:sz w:val="20"/>
        </w:rPr>
        <w:t>еченным строительством;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) передача подрядной строительной организации проектно-сметной документации в объемах и в сроки, предусмотренные Правилами о договорах подряда на капитальное строительство, а также сводный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получение фондов на первоочередные поставки технологического оборудования, кабельной продукции и других материалов, поставляемых по линии заказчика;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заключение договоров подряда на строительство объектов.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К комплексу подготовительных мероприятий по линии генерального подрядчика отн</w:t>
      </w:r>
      <w:r>
        <w:rPr>
          <w:rFonts w:ascii="Times New Roman" w:hAnsi="Times New Roman"/>
          <w:sz w:val="20"/>
        </w:rPr>
        <w:t>осятся: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согласование сводного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разработка сводного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определение строительно-монтажных организаций-участников строительства;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выявление необходимости наращивания производственных мощностей строительно-монтажных организаций и их подразделений, а также привлечение субподрядных организаций;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составление проектов генерального и годового договоров подряда или дополнительных соглашений к генеральному договору подряда, а также особых условий к ним и представление проектов этих договоров, соглаш</w:t>
      </w:r>
      <w:r>
        <w:rPr>
          <w:rFonts w:ascii="Times New Roman" w:hAnsi="Times New Roman"/>
          <w:sz w:val="20"/>
        </w:rPr>
        <w:t>ений и особых условий заказчику;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увязка вопросов обеспечения строительства конструкциями, изделиями, деталями, полуфабрикатами и материалами в соответствии с планами капитального строительства и мощностями предприятий строительной индустрии.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К работам по подготовке территорий под строительство, выполняемым подрядными строительно-монтажными организациями при комплексной поточной застройке, относятся: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освоение строительной площадки (расчистка территории) и создание общеплощадочного складского хозяй</w:t>
      </w:r>
      <w:r>
        <w:rPr>
          <w:rFonts w:ascii="Times New Roman" w:hAnsi="Times New Roman"/>
          <w:sz w:val="20"/>
        </w:rPr>
        <w:t>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снос существующих строений и первоочередные работы по вертикальной планировке территории, предусмотренные в сводных сметах;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опережающее строительство магистральных инженерных сетей и сооружений на них, уличных проездов, подъездных путей, линий связи, линий электропередачи с трансформаторными подстанциями;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инженерная подготовка строительных площадок, с устройством временных проездов, установкой инвентарных временных сооружений, обеспечением строительства от постоянных (или временных) источнико</w:t>
      </w:r>
      <w:r>
        <w:rPr>
          <w:rFonts w:ascii="Times New Roman" w:hAnsi="Times New Roman"/>
          <w:sz w:val="20"/>
        </w:rPr>
        <w:t xml:space="preserve">в </w:t>
      </w:r>
      <w:proofErr w:type="spellStart"/>
      <w:r>
        <w:rPr>
          <w:rFonts w:ascii="Times New Roman" w:hAnsi="Times New Roman"/>
          <w:sz w:val="20"/>
        </w:rPr>
        <w:t>водо</w:t>
      </w:r>
      <w:proofErr w:type="spellEnd"/>
      <w:r>
        <w:rPr>
          <w:rFonts w:ascii="Times New Roman" w:hAnsi="Times New Roman"/>
          <w:sz w:val="20"/>
        </w:rPr>
        <w:t xml:space="preserve">-, </w:t>
      </w:r>
      <w:proofErr w:type="spellStart"/>
      <w:r>
        <w:rPr>
          <w:rFonts w:ascii="Times New Roman" w:hAnsi="Times New Roman"/>
          <w:sz w:val="20"/>
        </w:rPr>
        <w:t>паро</w:t>
      </w:r>
      <w:proofErr w:type="spellEnd"/>
      <w:r>
        <w:rPr>
          <w:rFonts w:ascii="Times New Roman" w:hAnsi="Times New Roman"/>
          <w:sz w:val="20"/>
        </w:rPr>
        <w:t>-, электроснабжением, устройством телефонной и радиосвязи;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приемка и обработка документации по организации и комплексному осуществлению строительства в городах;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разработка документации по производственно-технологической комплектации (по объектам, комплексам работ, структурным подразделениям) на планируемые периоды.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 При комплексной застройке поточными методами предусмотренных пятилетним планом размещения строительства городских районов необходимо учитывать следующие организационные и </w:t>
      </w:r>
      <w:r>
        <w:rPr>
          <w:rFonts w:ascii="Times New Roman" w:hAnsi="Times New Roman"/>
          <w:sz w:val="20"/>
        </w:rPr>
        <w:t>технологические принципы: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прокладка магистральных коммуникаций, представляющая законченный этап работ, должна осуществляться в зависимости от очередности застройки жилых микрорайонов и строительства отдельных объектов, входящих в городской район;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прокладка внутриплощадочных   коммуникаций должна вестись в первую очередь к объектам, с которых начнутся строительные работы. При этом работы следует производить последовательно по участкам, очередность освоения которых должна устанавливаться сводным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>, ис</w:t>
      </w:r>
      <w:r>
        <w:rPr>
          <w:rFonts w:ascii="Times New Roman" w:hAnsi="Times New Roman"/>
          <w:sz w:val="20"/>
        </w:rPr>
        <w:t>ходя из наибольшей экономической целесообразности;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объекты, строительство которых предусмотрено планом, должны группироваться по технологически однородным признакам (назначению, конструктивным и объемно-планировочным решениям, этажности);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строительство жилых домов и объектов культурно-бытового назначения следует осуществлять, как правило, в два этапа: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- работы "нулевого цикла", выполнение которых рекомендуется возлагать на соответствующие специализированные подразделения генерального подрядчика;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 работы по возведению надземной части каждой группы зданий рекомендуется осуществлять силами специализированных подразделений генеральных подрядчиков (</w:t>
      </w:r>
      <w:proofErr w:type="spellStart"/>
      <w:r>
        <w:rPr>
          <w:rFonts w:ascii="Times New Roman" w:hAnsi="Times New Roman"/>
          <w:sz w:val="20"/>
        </w:rPr>
        <w:t>ДСК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СМУ</w:t>
      </w:r>
      <w:proofErr w:type="spellEnd"/>
      <w:r>
        <w:rPr>
          <w:rFonts w:ascii="Times New Roman" w:hAnsi="Times New Roman"/>
          <w:sz w:val="20"/>
        </w:rPr>
        <w:t>, трест-площадка) с привлечением субподрядных организаций для выполнения специальных видов работ. При этом в целях создания условий для широкого применения бригадного подряда в жилищно-гражданском строительстве, на подразделения генерального подрядчика целесообразно возлагать выполнение всех общестроительных работ по возведению надземной части зданий</w:t>
      </w:r>
      <w:r>
        <w:rPr>
          <w:rFonts w:ascii="Times New Roman" w:hAnsi="Times New Roman"/>
          <w:sz w:val="20"/>
        </w:rPr>
        <w:t>, включая отделочные работы;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в зависимости от годовых объемов работ и условий размещения объемов строительства каждая группа объектов распределяется на объектные потоки (группы объектов, последовательно возводимые в течение планового периода). В соответствии с местными условиями отдельные потоки могут компоноваться из разнотипных объектов, но более или менее близких по строительным параметрам;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за каждым объектным потоком следует закреплять соответствующее структурное подразделение генерального подрядч</w:t>
      </w:r>
      <w:r>
        <w:rPr>
          <w:rFonts w:ascii="Times New Roman" w:hAnsi="Times New Roman"/>
          <w:sz w:val="20"/>
        </w:rPr>
        <w:t xml:space="preserve">ика (строительный участок, </w:t>
      </w:r>
      <w:proofErr w:type="spellStart"/>
      <w:r>
        <w:rPr>
          <w:rFonts w:ascii="Times New Roman" w:hAnsi="Times New Roman"/>
          <w:sz w:val="20"/>
        </w:rPr>
        <w:t>СМУ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за каждым объектным потоком целесообразно закреплять также соответствующие подразделения (бригады) субподрядных организаций, выполняющие на объектах отдельные виды специальных работ;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входящие в объектный поток специализированные или частные потоки отдельных видов строительно-монтажных работ следует выполнять комплексными специализированными бригадами соответствующих строительных организаций.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При организации строительно-монтажных работ нужно исходить из того, что о</w:t>
      </w:r>
      <w:r>
        <w:rPr>
          <w:rFonts w:ascii="Times New Roman" w:hAnsi="Times New Roman"/>
          <w:sz w:val="20"/>
        </w:rPr>
        <w:t>бъектными потоками должны осуществляться: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прокладка магистральных коммуникаций с разбивкой на отдельные виды инженерных сетей и сооружений;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устройство городских улиц и проездов;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прокладка внутриплощадочных коммуникаций (</w:t>
      </w:r>
      <w:proofErr w:type="spellStart"/>
      <w:r>
        <w:rPr>
          <w:rFonts w:ascii="Times New Roman" w:hAnsi="Times New Roman"/>
          <w:sz w:val="20"/>
        </w:rPr>
        <w:t>микрорайонного</w:t>
      </w:r>
      <w:proofErr w:type="spellEnd"/>
      <w:r>
        <w:rPr>
          <w:rFonts w:ascii="Times New Roman" w:hAnsi="Times New Roman"/>
          <w:sz w:val="20"/>
        </w:rPr>
        <w:t xml:space="preserve"> значения) с разбивкой на отдельные виды инженерных сетей;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строительство жилых домов, объектов культурно-бытового назначения и коммунального хозяйства с организацией специализированных потоков (по возведению подземной и надземной частей зданий, общестроительным и от</w:t>
      </w:r>
      <w:r>
        <w:rPr>
          <w:rFonts w:ascii="Times New Roman" w:hAnsi="Times New Roman"/>
          <w:sz w:val="20"/>
        </w:rPr>
        <w:t>делочным работам, санитарно-техническим и электромонтажным работам) в зависимости от принятых технических и технологических решений и форм организации труда;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работы по внешнему благоустройству и озеленению территории застраиваемых комплексов.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5.9. Работы по инженерной подготовке территории (снос строений, вертикальная планировка, намыв грунта, </w:t>
      </w:r>
      <w:proofErr w:type="spellStart"/>
      <w:r>
        <w:rPr>
          <w:rFonts w:ascii="Times New Roman" w:hAnsi="Times New Roman"/>
          <w:sz w:val="20"/>
        </w:rPr>
        <w:t>водопонижение</w:t>
      </w:r>
      <w:proofErr w:type="spellEnd"/>
      <w:r>
        <w:rPr>
          <w:rFonts w:ascii="Times New Roman" w:hAnsi="Times New Roman"/>
          <w:sz w:val="20"/>
        </w:rPr>
        <w:t xml:space="preserve"> и др.), а также строительство отдельных сложных по своим техническим решениям коммунальных и общественных зданий и сооружений могут выполняться вне о</w:t>
      </w:r>
      <w:r>
        <w:rPr>
          <w:rFonts w:ascii="Times New Roman" w:hAnsi="Times New Roman"/>
          <w:sz w:val="20"/>
        </w:rPr>
        <w:t>бъектного потока, но в увязке с общими сроками застройки городского района.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В целях обеспечения ввода в эксплуатацию законченных градостроительных комплексов, с необходимым набором объектов общественного обслуживания населения и с выполненными работами по инженерному оборудованию и благоустройству территории застройки, при формировании объектных и специализированных потоков должна обеспечиваться их увязка между собой во времени с учетом территориального размещения объектов строительства в городе.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</w:t>
      </w:r>
      <w:r>
        <w:rPr>
          <w:rFonts w:ascii="Times New Roman" w:hAnsi="Times New Roman"/>
          <w:sz w:val="20"/>
        </w:rPr>
        <w:t>. Материальное обеспечение строительства объектов, осуществляемого поточными методами, должно производиться на основе производственно-технологической комплектации строительных деталей, изделий и материалов с комплектной доставкой их на строительную площадку.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УПРАВЛЕНИЕ ПРОЕКТНО-СТРОИТЕЛЬНЫМ ПРОЦЕССОМ В ГОРОДЕ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Основой для управления комплексной поточной застройкой города и его отдельных районов, а также для координации деятельности участвующих в ней организаций служит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застройки города (см. п.</w:t>
      </w:r>
      <w:r>
        <w:rPr>
          <w:rFonts w:ascii="Times New Roman" w:hAnsi="Times New Roman"/>
          <w:sz w:val="20"/>
        </w:rPr>
        <w:t xml:space="preserve"> 4.1 настоящей Инструкции).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Для управления застройкой отдельных городских районов, строительством объектов, их материальным обеспечением и другими связанными с этим процессами служат сводные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Руководитель каждой организации (единого заказчика, генеральных подрядчиков, генерального проектировщика) и подразделений исполкома Совета .народных депутатов, участвующих в комплексной поточной застройке города, осуществляет в пределах своих функций контроль за ходом проектирования и строительства </w:t>
      </w:r>
      <w:r>
        <w:rPr>
          <w:rFonts w:ascii="Times New Roman" w:hAnsi="Times New Roman"/>
          <w:sz w:val="20"/>
        </w:rPr>
        <w:t xml:space="preserve">объектов, обеспечением строек проектно-технологической документацией, материально-техническими ресурсами, услугами транспортных и других организаций. 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Общий контроль за комплексной застройкой города рекомендуется осуществлять Рабочей группой Координационного совета, создаваемой при едином заказчике (в пределах установленной общей численности работников) на основе решения исполкома Совета народных депутатов. Положение о Рабочей группе Координационного совета приведено в прил. 4 к настоящей Инструкции.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.5. Условием успешного управления и координации деятельности организаций, связанной с подготовкой к строительству и ходом осуществления комплексной застройки городских районов и города в целом, является наличие хорошо налаженной системы информации и контроля, оперативного планирования и диспетчеризации. Основными источниками информации для оперативного управления служат данные (отчеты) о работе, выполненной исполнителями  в соответствии с рабочими заданиями.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Оперативное планирование и диспетчеризация п</w:t>
      </w:r>
      <w:r>
        <w:rPr>
          <w:rFonts w:ascii="Times New Roman" w:hAnsi="Times New Roman"/>
          <w:sz w:val="20"/>
        </w:rPr>
        <w:t>ри комплексном осуществлении строительства объектов поточными методами обеспечивается в соответствии с положениями, предусмотренными в главе СНиП по организации строительного производства.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Информация о подготовке, организации и ходе разработки проектно-сметной и проектно-технологической документации обеспечивается генеральным проектировщиком, управлением (отделом) капитального строительства и другими подразделениями исполкома Совета народных депутатов. Информация о ходе инженерной подготовки территорий</w:t>
      </w:r>
      <w:r>
        <w:rPr>
          <w:rFonts w:ascii="Times New Roman" w:hAnsi="Times New Roman"/>
          <w:sz w:val="20"/>
        </w:rPr>
        <w:t xml:space="preserve"> и строительства объектов обеспечивается оперативно-диспетчерской службой генеральных подрядчиков. Вся информация по комплексной застройке городских районов и города в целом должна представляться в Рабочую группу Координационного совета в установленные сроки.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По результатам обработки очередной информации руководитель Рабочей группы Координационного совета принимает необходимые решения. При возникновении отклонений от комплексного укрупненного сетевого графика по срокам выполнения отдельных работ и меро</w:t>
      </w:r>
      <w:r>
        <w:rPr>
          <w:rFonts w:ascii="Times New Roman" w:hAnsi="Times New Roman"/>
          <w:sz w:val="20"/>
        </w:rPr>
        <w:t>приятий, ликвидация которых не может быть обеспечена на уровне Рабочей группы, ее руководитель представляет перечень таких работ и мероприятий Координационному совету для принятия решений. Весь процесс обработки оперативной информации и принятия решений должен занимать не более двух дней, для чего необходимо широко использовать имеющиеся ЭВМ и периферийные автоматические устройства по подготовке к передаче информации со средствами связи.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ОЦЕНКА РЕЗУЛЬТАТОВ ВНЕДРЕНИЯ МЕТОДОВ КОМПЛЕКСНОГО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ПОТОЧНОГО СТРОИТ</w:t>
      </w:r>
      <w:r>
        <w:rPr>
          <w:rFonts w:ascii="Times New Roman" w:hAnsi="Times New Roman"/>
          <w:sz w:val="20"/>
        </w:rPr>
        <w:t>ЕЛЬСТВА ОБЪЕКТОВ НА ОСНОВЕ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НЕПРЕРЫВНОГО ПЛАНИРОВАНИЯ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Внедрение в городах методов комплексного поточного строительства жилых домов, объектов культурно-бытового назначения и коммунального хозяйства на основе непрерывного планирования должно обеспечивать градостроительный, социальный и экономический эффекты.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Градостроительный эффект достигается при переходе от выборочной застройки свободных земельных участков к планомерной реализации генерального плана и последовательному завершению градостроительных об</w:t>
      </w:r>
      <w:r>
        <w:rPr>
          <w:rFonts w:ascii="Times New Roman" w:hAnsi="Times New Roman"/>
          <w:sz w:val="20"/>
        </w:rPr>
        <w:t>разований (жилых районов, микрорайонов, городских улиц, площадей) путем комплексной застройки и реконструкции городских районов.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Социальный эффект обеспечивается созданием удобств населению в результате комплексной застройки городских районов, с одновременным вводом в эксплуатацию жилых домов и всех необходимых учреждений и предприятий культурно-бытового назначения и коммунального хозяйства, а также за счет повышения уровня бытового комфорта жилищ при общем улучшении качества строительства.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Экономический эф</w:t>
      </w:r>
      <w:r>
        <w:rPr>
          <w:rFonts w:ascii="Times New Roman" w:hAnsi="Times New Roman"/>
          <w:sz w:val="20"/>
        </w:rPr>
        <w:t>фект в народном хозяйстве обеспечивается в результате снижения общих затрат на проектно-изыскательские и строительно-монтажные работы, а также на содержание управленческого персонала, и должен подсчитываться по каждой из этих сфер раздельно.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Подсчеты экономической эффективности при этом следует производить путем сопоставления фактически достигнутых среднегодовых показателей и таких же показателей в период, предшествующий внедрению комплексного поточного строительства на основе непрерывного планирования</w:t>
      </w:r>
      <w:r>
        <w:rPr>
          <w:rFonts w:ascii="Times New Roman" w:hAnsi="Times New Roman"/>
          <w:sz w:val="20"/>
        </w:rPr>
        <w:t>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При определении экономического эффекта в области строительного производства за счет перехода на комплексное строительство объектов поточными методами необходимо учитывать следующие факторы, влияющие на снижение себестоимости строительства: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сокращение продолжительности строительства;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рост производительности труда при выполнении строительно-монтажных работ;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улучшение использования строительных машин, механизмов и средств транспорта;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ускорение ввода в действие основных фондов.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Экономиче</w:t>
      </w:r>
      <w:r>
        <w:rPr>
          <w:rFonts w:ascii="Times New Roman" w:hAnsi="Times New Roman"/>
          <w:sz w:val="20"/>
        </w:rPr>
        <w:t>ский эффект от создания в городе службы единого заказчика, получаемый в результате сокращения расходов на содержание управленческого аппарата и его численности при ликвидации многочисленных ведомственных застройщиков, следует учитывать как в денежном выражении, так и в количестве высвобождающихся инженерно-технических работников и служащих, которые могут быть использованы в других областях социалистического производства.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В области проектирования следует учитывать относительное сокращение удельных затра</w:t>
      </w:r>
      <w:r>
        <w:rPr>
          <w:rFonts w:ascii="Times New Roman" w:hAnsi="Times New Roman"/>
          <w:sz w:val="20"/>
        </w:rPr>
        <w:t>т на проектно-изыскательские работы за счет их сосредоточения у единой проектной организации - генерального проектировщика и устранения при этом бросовых работ, возникающих при наличии в городе многочисленных ведомственных заказчиков за счет неполного использования разработанных проектов.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Методика определения экономической эффективности от внедрения комплексного строительства объектов поточными методами на основе непрерывного планирования, создания единого заказчика, а также составления экономических о</w:t>
      </w:r>
      <w:r>
        <w:rPr>
          <w:rFonts w:ascii="Times New Roman" w:hAnsi="Times New Roman"/>
          <w:sz w:val="20"/>
        </w:rPr>
        <w:t>боснований выбора оптимальных вариантов решений по организации и осуществлению застройки городских районов поточными методами приведены в прил. 5 к настоящей Инструкции.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B12A8D">
      <w:pPr>
        <w:jc w:val="right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ПОЛОЖЕНИЯ ПО РАЗРАБОТКЕ КОМПЛЕКСНОГО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УКРУПНЕННОГО СЕТЕВОГО ГРАФИКА ЗАСТРОЙКИ ГОРОДА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застройки города составляется в качестве основы для разработки сводных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жилых домов, объектов культурно-бытового и коммунального назначения, размещаемых в городских районах, подлежащих застройке в течение очередного пяти</w:t>
      </w:r>
      <w:r>
        <w:rPr>
          <w:rFonts w:ascii="Times New Roman" w:hAnsi="Times New Roman"/>
          <w:sz w:val="20"/>
        </w:rPr>
        <w:t>летнего периода.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>, разрабатываемом на 7-8 лет, должны быть отражены объемы и сроки начала и завершения проектных и строительных работ по отдельным городским районам и жилым микрорайонам, подлежащим застройке в соответствии с пятилетним планом размещения строительства и годовыми заданиями по вводу в эксплуатацию жилых домов и объектов культурно-бытового и коммунального назначения, предусмотренными пятилетними планами социального и экономического развития с выделением в том числе следующих видов рабо</w:t>
      </w:r>
      <w:r>
        <w:rPr>
          <w:rFonts w:ascii="Times New Roman" w:hAnsi="Times New Roman"/>
          <w:sz w:val="20"/>
        </w:rPr>
        <w:t>т: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разработка и утверждение проектно-сметной документации на строительство объектов на стадиях технического проекта и рабочих чертежей;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осуществление комплекса подготовительных мероприятий: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предоставление квартир жителям домов, сносимых в связи с намечаемым строительством;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снос существующих строений;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разбивка в натуре красных линий застройки;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прокладка магистральных инженерных сетей городского коммунального хозяйства и устройство проезжей части городских улиц;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застройка жилых микрорайонов;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ст</w:t>
      </w:r>
      <w:r>
        <w:rPr>
          <w:rFonts w:ascii="Times New Roman" w:hAnsi="Times New Roman"/>
          <w:sz w:val="20"/>
        </w:rPr>
        <w:t>роительство общественных центров и отдельных объектов городского и районного значения.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должен обеспечивать увязку в масштабе города сроков выполнения перечисленных в предыдущем пункте видов работ с целью ввода в эксплуатацию объектов в виде законченных градостроительных комплексов (жилых микрорайонов, общественных центров, групп жилых домов с необходимым набором учреждений и предприятий общественного обслуживания населения).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Исходными данными для составления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являются: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пятилетний план капи</w:t>
      </w:r>
      <w:r>
        <w:rPr>
          <w:rFonts w:ascii="Times New Roman" w:hAnsi="Times New Roman"/>
          <w:sz w:val="20"/>
        </w:rPr>
        <w:t>тального строительства;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пятилетний план размещения в городе объемов строительства жилых домов, объектов культурно-бытового и коммунального назначения;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плановая структура жилищного и культурно-бытового строительства;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протоколы передачи единому заказчику предприятиями (организациями) капитальных вложений на строительство объектов в порядке долевого участия, утвержденные в установленном порядке;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проекты детальной планировки городских районов, подлежащих застройке в течение планового периода;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пла</w:t>
      </w:r>
      <w:r>
        <w:rPr>
          <w:rFonts w:ascii="Times New Roman" w:hAnsi="Times New Roman"/>
          <w:sz w:val="20"/>
        </w:rPr>
        <w:t>ны проектно-изыскательских работ, а также состояние обеспеченности строительства проектно-сметной документацией.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Степень детализации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может быть различной в зависимости от размеров города и годовых объемов строительства. В малых городах с небольшими объемами строительства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могут быть разработаны более детально, чем в крупных городах, в целях совмещения их со сводными ПОС.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застройки города должны утверждаться решением исполкома Совета народных депутатов по представлению Координационного со</w:t>
      </w:r>
      <w:r>
        <w:rPr>
          <w:rFonts w:ascii="Times New Roman" w:hAnsi="Times New Roman"/>
          <w:sz w:val="20"/>
        </w:rPr>
        <w:t>вета после согласования его с заинтересованными организациями.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застройки города следует разрабатывать в соответствии с прилагаемой (примерной) формой.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B12A8D">
      <w:pPr>
        <w:jc w:val="right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ДОПОЛНИТЕЛЬНЫЕ ТРЕБОВАНИЯ К РАЗРАБОТКЕ СВОДНЫХ ПРОЕКТОВ 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ОРГАНИЗАЦИИ СТРОИТЕЛЬСТВА КОМПЛЕКСНЫМИ ПОТОЧНЫМИ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МЕТОДАМИ ЗАСТРОЙКИ ГОРОДСКИХ РАЙОНОВ НА ОСНОВЕ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НЕПРЕРЫВНОГО ПЛАНИРОВАНИЯ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Исходными материалами для составления сводного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объектов поточными методами при комплексной застройке городских районов, помимо перечисленных в действ</w:t>
      </w:r>
      <w:r>
        <w:rPr>
          <w:rFonts w:ascii="Times New Roman" w:hAnsi="Times New Roman"/>
          <w:sz w:val="20"/>
        </w:rPr>
        <w:t xml:space="preserve">ующей Инструкции по разработке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 xml:space="preserve"> служат: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застройки города;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проект детальной планировки района города, для которого разрабатывается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технические проекты застройки жилых микрорайонов и отдельных зданий и сооружений, входящих в состав данного района города;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пятилетние планы подрядных работ генеральных подрядчиков;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) титульные </w:t>
      </w:r>
      <w:proofErr w:type="spellStart"/>
      <w:r>
        <w:rPr>
          <w:rFonts w:ascii="Times New Roman" w:hAnsi="Times New Roman"/>
          <w:sz w:val="20"/>
        </w:rPr>
        <w:t>cписки</w:t>
      </w:r>
      <w:proofErr w:type="spellEnd"/>
      <w:r>
        <w:rPr>
          <w:rFonts w:ascii="Times New Roman" w:hAnsi="Times New Roman"/>
          <w:sz w:val="20"/>
        </w:rPr>
        <w:t xml:space="preserve"> переходящих и вновь начинаемых строек;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) предусмотренные пятилетним планом годовые задания по вводу в эксплуатацию общей площади жилых домов, мест в </w:t>
      </w:r>
      <w:r>
        <w:rPr>
          <w:rFonts w:ascii="Times New Roman" w:hAnsi="Times New Roman"/>
          <w:sz w:val="20"/>
        </w:rPr>
        <w:t>детских дошкольных учреждениях, общеобразовательных школах и других учреждениях и предприятиях общественного обслуживания, размещаемых в данном районе, а также направляемые на это строительство объемы капитальных вложений и строительно-монтажных работ в годовом разрезе;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данные о нормативной продолжительности строительства зданий, размещенных в данном районе города;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 xml:space="preserve">) основные положения по производству строительных и монтажных работ, содержащиеся в составе типовых проектов жилых и общественных зданий.  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состав сводного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объектов комплексными поточными методами застройки городского района наряду с   материалами,   предусмотренными   действующей 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47-74, должны разрабатываться и дополнительно включаться: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Комплексный укрупненный сетевой график на застройку города на основе 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непрерывного планирования 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12A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7565" w:dyaOrig="7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342pt" o:ole="">
            <v:imagedata r:id="rId4" o:title=""/>
          </v:shape>
          <o:OLEObject Type="Embed" ProgID="MSPhotoEd.3" ShapeID="_x0000_i1025" DrawAspect="Content" ObjectID="_1427219753" r:id="rId5"/>
        </w:objec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директивный график комплексной застройки городского района, определяющий последовательность и продолжительность возведения отдельных объектов, размещенных в каждом из вход</w:t>
      </w:r>
      <w:r>
        <w:rPr>
          <w:rFonts w:ascii="Times New Roman" w:hAnsi="Times New Roman"/>
          <w:sz w:val="20"/>
        </w:rPr>
        <w:t>ящих в него жилых микрорайонов (в пределах общей продолжительности застройки каждого из микрорайонов, установленной комплексным укрупненным сетевым графиком), а также общественных центров, зданий и сооружений районного или городского значения путем формирования соответствующих объектных потоков;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ситуационный план застройки городского района с нанесением на него жилых микрорайонов, отдельных зданий и сооружений, городских улиц, магистральных сетей коммунального хозяйства, проездов </w:t>
      </w:r>
      <w:proofErr w:type="spellStart"/>
      <w:r>
        <w:rPr>
          <w:rFonts w:ascii="Times New Roman" w:hAnsi="Times New Roman"/>
          <w:sz w:val="20"/>
        </w:rPr>
        <w:t>микрорайонного</w:t>
      </w:r>
      <w:proofErr w:type="spellEnd"/>
      <w:r>
        <w:rPr>
          <w:rFonts w:ascii="Times New Roman" w:hAnsi="Times New Roman"/>
          <w:sz w:val="20"/>
        </w:rPr>
        <w:t xml:space="preserve"> и внутрик</w:t>
      </w:r>
      <w:r>
        <w:rPr>
          <w:rFonts w:ascii="Times New Roman" w:hAnsi="Times New Roman"/>
          <w:sz w:val="20"/>
        </w:rPr>
        <w:t>вартального значения, подлежащих осуществлению при застройке данного района города, а также дорог на период строительства;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сводная ведомость объемов строительных и монтажных работ по городскому району в целом, с выделением этих объемов работ по каждому из жилых микрорайонов, а также по отдельным зданиям и сооружениям районного или городского значения;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сводная ведомость основного технологического оборудования, кабельной продукции и других материалов и изделий, поставляемых на строительство по линии зак</w:t>
      </w:r>
      <w:r>
        <w:rPr>
          <w:rFonts w:ascii="Times New Roman" w:hAnsi="Times New Roman"/>
          <w:sz w:val="20"/>
        </w:rPr>
        <w:t>азчика, и сроки их поставки;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перечень основных строительных машин и механизмов, необходимых для осуществления застройки города.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формировании объектных потоков следует исходить из того, что производство строительно-монтажных работ целесообразно осуществлять самостоятельными потоками по следующим группам объектов и видам работ: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магистральные инженерные сети городского коммунального хозяйства, объединяемые при необходимости в коллекторах, а также сооружения на них;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проезжая часть городских улиц</w:t>
      </w:r>
      <w:r>
        <w:rPr>
          <w:rFonts w:ascii="Times New Roman" w:hAnsi="Times New Roman"/>
          <w:sz w:val="20"/>
        </w:rPr>
        <w:t xml:space="preserve"> с устройством транспортных развязок и путепроводов;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работы по инженерной подготовке территории жилых микрорайонов и других строительных площадок (снос строений, вертикальная планировка, </w:t>
      </w:r>
      <w:proofErr w:type="spellStart"/>
      <w:r>
        <w:rPr>
          <w:rFonts w:ascii="Times New Roman" w:hAnsi="Times New Roman"/>
          <w:sz w:val="20"/>
        </w:rPr>
        <w:t>водопонижение</w:t>
      </w:r>
      <w:proofErr w:type="spellEnd"/>
      <w:r>
        <w:rPr>
          <w:rFonts w:ascii="Times New Roman" w:hAnsi="Times New Roman"/>
          <w:sz w:val="20"/>
        </w:rPr>
        <w:t>, намыв грунта и др.);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инженерные сети </w:t>
      </w:r>
      <w:proofErr w:type="spellStart"/>
      <w:r>
        <w:rPr>
          <w:rFonts w:ascii="Times New Roman" w:hAnsi="Times New Roman"/>
          <w:sz w:val="20"/>
        </w:rPr>
        <w:t>микрорайонного</w:t>
      </w:r>
      <w:proofErr w:type="spellEnd"/>
      <w:r>
        <w:rPr>
          <w:rFonts w:ascii="Times New Roman" w:hAnsi="Times New Roman"/>
          <w:sz w:val="20"/>
        </w:rPr>
        <w:t xml:space="preserve"> значения;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работы нулевого цикла по жилым домам и зданиям культурно-бытового назначения;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жилые дома (надземная часть), сгруппированные по признакам технологической однородности (крупнопанельные, со стенами из кирпича, объемно-блочные и др.);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зд</w:t>
      </w:r>
      <w:r>
        <w:rPr>
          <w:rFonts w:ascii="Times New Roman" w:hAnsi="Times New Roman"/>
          <w:sz w:val="20"/>
        </w:rPr>
        <w:t>ания культурно-бытового назначения, также сгруппированные по признакам технологической однородности;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внешнее благоустройство, элементы малых архитектурных форм и озеленение территории застраиваемых комплексов.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При разработке сводных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поточными методами жилых домов, объектов культурно-бытового и коммунального назначения при комплексной застройке городских районов следует исходить из необходимости концентрации трудовых и материально-технических ресурсов на минимальном количестве одновременно строящих</w:t>
      </w:r>
      <w:r>
        <w:rPr>
          <w:rFonts w:ascii="Times New Roman" w:hAnsi="Times New Roman"/>
          <w:sz w:val="20"/>
        </w:rPr>
        <w:t>ся объектов с обязательным соблюдением нормативной продолжительности их строительства, технологически обоснованной последовательности и продолжительности выполнения тех или иных строительных процессов.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Общий ритм поточного строительства, число параллельных потоков и их интенсивность следует определять, исходя из запланированных годовых объемов строительно-монтажных работ, нормативной продолжительности возведения отдельных объектов, действующих норм задела в строительстве, а также из необходимости равноме</w:t>
      </w:r>
      <w:r>
        <w:rPr>
          <w:rFonts w:ascii="Times New Roman" w:hAnsi="Times New Roman"/>
          <w:sz w:val="20"/>
        </w:rPr>
        <w:t>рного в течение года и каждого квартала ввода объектов в эксплуатацию в виде законченных градостроительных комплексов.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Объектные потоки следует подразделять на специализированные потоки по входящим в них комплексам и видам работ, выполняемым в технологической последовательности, определяющейся принятыми техническими решениями, методами производства работ и формами организации трудовых процессов.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Интенсивность объектных потоков по инженерной подготовке и инженерному оборудованию застраиваемых территори</w:t>
      </w:r>
      <w:r>
        <w:rPr>
          <w:rFonts w:ascii="Times New Roman" w:hAnsi="Times New Roman"/>
          <w:sz w:val="20"/>
        </w:rPr>
        <w:t>й, их ритм и сроки начала выполнения работ должны быть подчинены общему ритму поточного строительства, определяющемуся ритмом объектных потоков по возведению надземной части жилых домов и зданий культурно-бытового назначения, с тем чтобы инженерные сети были подведены к объектам до начала работ по возведению их подземной части.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Остальные документы сводного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разрабатываются в соответствии с требованиями, установленными 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47-74.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Сводные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объектов должны утверждаться решением исполкома Совета наро</w:t>
      </w:r>
      <w:r>
        <w:rPr>
          <w:rFonts w:ascii="Times New Roman" w:hAnsi="Times New Roman"/>
          <w:sz w:val="20"/>
        </w:rPr>
        <w:t>дных депутатов по представлению руководителя Координационного совета по согласованию с соответствующим территориальным главным управлением (управлением)  строительства, областным (краевым) объединением строительного министерства СССР или союзной республики, на которое возложены обязанности по координации деятельности генеральных подрядных строительно-монтажных организаций в городе.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B12A8D">
      <w:pPr>
        <w:jc w:val="right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ДОПОЛНИТЕЛЬНЫЕ ТРЕБОВАНИЯ К РАЗРАБОТКЕ СВОДНЫХ ПРОЕКТОВ 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ПРОИЗВОДСТВА РАБОТ ПО КОМПЛЕКСНОЙ ЗАСТРОЙКЕ ГОРОДСКИХ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РАЙОНОВ ПОТОЧНЫМИ МЕТОДАМИ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Исходными данными для составления сводного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 xml:space="preserve"> при комплексной поточной застройке городских районов, помимо перечисленных в 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47-74, служат: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застройки города;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сводный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объектов поточными методами по данному району города;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 xml:space="preserve"> по отдельным объектам;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рабочие двухлетние задания (на планируемый и следующий за ним год) для всех участников строительства с указанием объемов и сроков выполнения работ, а также объектов строительства, вытекающих из </w:t>
      </w:r>
      <w:proofErr w:type="spellStart"/>
      <w:r>
        <w:rPr>
          <w:rFonts w:ascii="Times New Roman" w:hAnsi="Times New Roman"/>
          <w:sz w:val="20"/>
        </w:rPr>
        <w:t>КУСГ</w:t>
      </w:r>
      <w:proofErr w:type="spellEnd"/>
      <w:r>
        <w:rPr>
          <w:rFonts w:ascii="Times New Roman" w:hAnsi="Times New Roman"/>
          <w:sz w:val="20"/>
        </w:rPr>
        <w:t xml:space="preserve"> застройки г</w:t>
      </w:r>
      <w:r>
        <w:rPr>
          <w:rFonts w:ascii="Times New Roman" w:hAnsi="Times New Roman"/>
          <w:sz w:val="20"/>
        </w:rPr>
        <w:t xml:space="preserve">орода и сводного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по данному району;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ведомость бригад рабочих с распределением по производственным подразделениям строительно-монтажных организаций, с указанием специализации бригад, численности рабочих и среднего тарифного разряда и годовые графики работы бригад по объектам;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данные о фактически достигнутой и плановой дневной выработке бригад по видам строительства и основным объектам;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ж) сведения о принятой в строительно-монтажных организациях технологии выполнения основных строительных процессов </w:t>
      </w:r>
      <w:r>
        <w:rPr>
          <w:rFonts w:ascii="Times New Roman" w:hAnsi="Times New Roman"/>
          <w:sz w:val="20"/>
        </w:rPr>
        <w:t>и возведения отдельных зданий и сооружений.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составе сводного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 xml:space="preserve"> наряду с материалами, предусмотренными 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47-74, должны разрабатываться дополнительно: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сводный календарный план производства работ (или сводный директивный сетевой график), разрабатываемый на два календарных года (планируемый и следующий за ним год), в котором на основе сводного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устанавливаются последовательность и сроки возведения объектов, объемы строительно-монтажных работ (объединяемые по комплексам и видам в специализированные</w:t>
      </w:r>
      <w:r>
        <w:rPr>
          <w:rFonts w:ascii="Times New Roman" w:hAnsi="Times New Roman"/>
          <w:sz w:val="20"/>
        </w:rPr>
        <w:t xml:space="preserve"> потоки) в технологической последовательности, определяющейся принятыми техническими решениями и методами производства работ, а также потребность в трудовых ресурсах и сроки поставки всех видов оборудования;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сводный строительный генеральный план по застраиваемому городскому району в целом, составляемый в соответствии с установленными требованиями;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сводный график поступления на строительство индустриальных изделий, деталей, полуфабрикатов и оборудования с приложением комплектовочных ведомостей в соотве</w:t>
      </w:r>
      <w:r>
        <w:rPr>
          <w:rFonts w:ascii="Times New Roman" w:hAnsi="Times New Roman"/>
          <w:sz w:val="20"/>
        </w:rPr>
        <w:t>тствии с основными сроками, вытекающими из сводного календарного плана производства работ;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сводный график потребности в рабочих кадрах;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сводный график потребности в основных строительных машинах и механизмах.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Остальные документы сводного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 xml:space="preserve"> разрабатываются в соответствии с установленными требованиями к составлению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Сводный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 xml:space="preserve"> по комплексной застройке городского района поточными методами утверждается главным инженером территориальной строительной организации, на которую возложены обязанност</w:t>
      </w:r>
      <w:r>
        <w:rPr>
          <w:rFonts w:ascii="Times New Roman" w:hAnsi="Times New Roman"/>
          <w:sz w:val="20"/>
        </w:rPr>
        <w:t>и по координации деятельности генеральных подрядных строительно-монтажных организаций в городе.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Сводный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 xml:space="preserve"> целесообразно разрабатывать в следующей последовательности: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определяются технологические этапы возведения жилых домов, объектов культурно-бытового и коммунального назначения;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производятся анализ и оценка наиболее вероятных вариантов поточного строительства технологически однородных зданий и сооружений;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разрабатывается двухлетний сводный календарный план строительства объектов и график фина</w:t>
      </w:r>
      <w:r>
        <w:rPr>
          <w:rFonts w:ascii="Times New Roman" w:hAnsi="Times New Roman"/>
          <w:sz w:val="20"/>
        </w:rPr>
        <w:t>нсирования строительства;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разрабатываются двухлетние директивные графики поточного строительства для каждой из групп однородных зданий и сооружений;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разрабатываются графики работ по прокладке магистральных коммуникаций, устройству дорог и благоустройству территорий, сносу строений и переносу коммуникаций, увязанные с графиками строительства основных зданий и сооружений;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разрабатываются двухлетние графики материально-технического обеспечения и комплектации объектов строительства;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составляется док</w:t>
      </w:r>
      <w:r>
        <w:rPr>
          <w:rFonts w:ascii="Times New Roman" w:hAnsi="Times New Roman"/>
          <w:sz w:val="20"/>
        </w:rPr>
        <w:t>ументация для оперативного планирования и управления строительством, а также разрабатываются мероприятия по обеспечению комплексного непрерывного планирования строительства;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производится технико-экономическая оценка разработанного проекта и принятых методов производства работ.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B12A8D">
      <w:pPr>
        <w:jc w:val="right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ПОЛОЖЕНИЕ О РАБОЧЕЙ ГРУППЕ КООРДИНАЦИОННОГО СОВЕТА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Для осуществления оперативного контроля за подготовкой документации, а также за разработкой и внедрением методов комплексного непрерывного планирования и орган</w:t>
      </w:r>
      <w:r>
        <w:rPr>
          <w:rFonts w:ascii="Times New Roman" w:hAnsi="Times New Roman"/>
          <w:sz w:val="20"/>
        </w:rPr>
        <w:t>изации поточного строительства при Управлении (отделе) капитального строительства исполкома Совета народных депутатов создается Рабочая группа Координационного совета, оформляемая решением исполкома.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состав группы должны входить представители: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управления (отдела) капитального строительства - руководитель группы;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генерального проектировщика;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генеральных подрядчиков;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подразделений исполкома (в соответствии с составом Координационного совета);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городской плановой комиссии;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управления (отдела) по делам стро</w:t>
      </w:r>
      <w:r>
        <w:rPr>
          <w:rFonts w:ascii="Times New Roman" w:hAnsi="Times New Roman"/>
          <w:sz w:val="20"/>
        </w:rPr>
        <w:t>ительства и архитектуры;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управления (отдела) капитального строительства;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городского отделения Стройбанка СССР;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городского статистического управления (отдела).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Рабочая группа Координационного совета формирует проект решения исполкома о внедрении в городе методов комплексного поточного строительства на основе непрерывного планирования, а также организует работу всех участников комплексной застройки города по обеспечению строительства проектно-сметной и проектно-технологической документацией и осуществляет </w:t>
      </w:r>
      <w:r>
        <w:rPr>
          <w:rFonts w:ascii="Times New Roman" w:hAnsi="Times New Roman"/>
          <w:sz w:val="20"/>
        </w:rPr>
        <w:t>контроль исполнения каждым участником его доли работы в сроки, предусмотренные комплексным укрупненным сетевым графиком.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ходе подготовки к строительству и его осуществления Рабочая группа Координационного совета должна обеспечить: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рабочие задания ответственным исполнителям по прилагаемой форме № 1, разработка которых согласовывается с соответствующими организациями;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сбор и обработку периодической оперативной информации исполнителей, по прилагаемой форме № 2, а также корректировку на ее основе </w:t>
      </w:r>
      <w:proofErr w:type="spellStart"/>
      <w:r>
        <w:rPr>
          <w:rFonts w:ascii="Times New Roman" w:hAnsi="Times New Roman"/>
          <w:sz w:val="20"/>
        </w:rPr>
        <w:t>КУС</w:t>
      </w:r>
      <w:r>
        <w:rPr>
          <w:rFonts w:ascii="Times New Roman" w:hAnsi="Times New Roman"/>
          <w:sz w:val="20"/>
        </w:rPr>
        <w:t>Г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составление донесений Координационному совету для принятия решений, направленных на улучшение хода работ;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подготовку, совместно с ответственными исполнителями, предложений о путях устранения последствий, возникающих в ходе подготовки и осуществления строительства отдельных нарушений установленных заданий и сроков их выполнения;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корректировку в случае необходимости графиков планирования, финансирования, выполнения проектно-изыскательских и строительно-монтажных работ.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B12A8D">
      <w:pPr>
        <w:jc w:val="right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</w:t>
      </w:r>
      <w:r>
        <w:rPr>
          <w:rFonts w:ascii="Times New Roman" w:hAnsi="Times New Roman"/>
          <w:sz w:val="20"/>
        </w:rPr>
        <w:t>А И ПОРЯДОК ВЫПОЛНЕНИЯ РАСЧЕТОВ ЭКОНОМИЧЕСКОЙ ЭФФЕКТИВНОСТИ ВНЕДРЕНИЯ КОМПЛЕКСНОГО СТРОИТЕЛЬСТВА ОБЪЕКТОВ ПОТОЧНЫМИ МЕТОДАМИ НА ОСНОВЕ НЕПРЕРЫВНОГО ПЛАНИРОВАНИЯ, А ТАКЖЕ СОЗДАНИЯ СЛУЖБЫ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ЕДИНОГО ЗАКАЗЧИКА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Расчеты экономической эффективности внедрения комплексного строительства объектов поточными методами на основе непрерывного планирования, а также экономические обоснования выбора вариантов решений по организации строительства объектов должны выполняться в соответствии с требованиями Инструкции по опред</w:t>
      </w:r>
      <w:r>
        <w:rPr>
          <w:rFonts w:ascii="Times New Roman" w:hAnsi="Times New Roman"/>
          <w:sz w:val="20"/>
        </w:rPr>
        <w:t>елению экономической эффективности капитальных вложений в строительстве (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423-71) и 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47-74.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Среднегодовой экономический эффект (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11.25pt;height:11.25pt">
            <v:imagedata r:id="rId6" o:title=""/>
          </v:shape>
        </w:pict>
      </w:r>
      <w:r>
        <w:rPr>
          <w:rFonts w:ascii="Times New Roman" w:hAnsi="Times New Roman"/>
          <w:sz w:val="20"/>
        </w:rPr>
        <w:t>) внедрения комплексного строительства объектов поточными методами на основе непрерывного планирования целесообразно определять по формуле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027" type="#_x0000_t75" style="width:142.5pt;height:25.5pt">
            <v:imagedata r:id="rId7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12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годовой объем строительства (после внедрения новой формы организации), выраженный в количестве расчетных единиц измерения;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14.25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фактическая себестоимость строительства на расчетную единицу в период, предшествующий внедрению но</w:t>
      </w:r>
      <w:r>
        <w:rPr>
          <w:rFonts w:ascii="Times New Roman" w:hAnsi="Times New Roman"/>
          <w:sz w:val="20"/>
        </w:rPr>
        <w:t xml:space="preserve">вой формы организации строительства, </w:t>
      </w:r>
      <w:proofErr w:type="spellStart"/>
      <w:r>
        <w:rPr>
          <w:rFonts w:ascii="Times New Roman" w:hAnsi="Times New Roman"/>
          <w:sz w:val="20"/>
        </w:rPr>
        <w:t>руб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15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фактическая (расчетная) себестоимость строительства на расчетную единицу после внедрения новой формы организации строительства, руб.;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11.25pt;height:11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нормативный коэффициент экономической эффективности (0,12);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14.25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033" type="#_x0000_t75" style="width:16.5pt;height:17.2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удельные капитальные вложения в развитие производственной базы строительства на расчетную единицу (или основные производственные фонды строительных организаций) соответственно до и после внедрения, руб.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В качестве расчетной единицы измерения сле</w:t>
      </w:r>
      <w:r>
        <w:rPr>
          <w:rFonts w:ascii="Times New Roman" w:hAnsi="Times New Roman"/>
          <w:sz w:val="20"/>
        </w:rPr>
        <w:t>дует принимать 1 м</w:t>
      </w:r>
      <w:r>
        <w:rPr>
          <w:rFonts w:ascii="Times New Roman" w:hAnsi="Times New Roman"/>
          <w:sz w:val="20"/>
        </w:rPr>
        <w:pict>
          <v:shape id="_x0000_i1034" type="#_x0000_t75" style="width:7.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общей площади жилых домов и зданий культурно-бытового назначения.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  показатели  себестоимости  строительства должны относиться затраты по строительству жилых домов, объектов культурно-бытового назначения и коммунального хозяйства.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определении среднегодового экономического эффекта за счет внедрения комплексного строительства объектов поточными методами показатели себестоимости строительства не должны учитывать снижения себестоимости строительства за счет влияния других факторо</w:t>
      </w:r>
      <w:r>
        <w:rPr>
          <w:rFonts w:ascii="Times New Roman" w:hAnsi="Times New Roman"/>
          <w:sz w:val="20"/>
        </w:rPr>
        <w:t>в (внедрения новой техники, изменения оптовых цен на материалы и изделия, изменения структуры строительства по конструктивным типам зданий и др.), не связанных с внедрением этой формы в организации строительства.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Экономический эффект от создания в городе службы единого заказчика может быть определен по формуле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35" type="#_x0000_t75" style="width:112.5pt;height:27pt">
            <v:imagedata r:id="rId15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9"/>
          <w:sz w:val="20"/>
        </w:rPr>
        <w:pict>
          <v:shape id="_x0000_i1036" type="#_x0000_t75" style="width:22.5pt;height:18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годовые расходы на содержание аппарата управления капитального строительства до внедрения;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5pt;height:18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суммарные годовые расходы на содержание аппарата ведомственных застройщиков до внедрения;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17.25pt;height:17.2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годовые расходы на содержание аппарата единого заказчика.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Наряду с определением экономии на содержание аппарата управления в годовом разрезе в абсолютном выражении (тыс. руб.) может быть определена удельная экономия на единицу площади введенных в эксплуатацию объектов путем деления абсолютных затрат на общую площадь введенных объектов, соответственно до и после создания службы единого заказчика.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Экономический эффект в сфере деятельности проектной организации может быть определен по формуле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039" type="#_x0000_t75" style="width:1in;height:18.75pt">
            <v:imagedata r:id="rId19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9"/>
          <w:sz w:val="20"/>
        </w:rPr>
        <w:pict>
          <v:shape id="_x0000_i1040" type="#_x0000_t75" style="width:20.25pt;height:18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суммарный экономический эффект в проектировании, тыс. </w:t>
      </w:r>
      <w:proofErr w:type="spellStart"/>
      <w:r>
        <w:rPr>
          <w:rFonts w:ascii="Times New Roman" w:hAnsi="Times New Roman"/>
          <w:sz w:val="20"/>
        </w:rPr>
        <w:t>руб</w:t>
      </w:r>
      <w:proofErr w:type="spellEnd"/>
      <w:r>
        <w:rPr>
          <w:rFonts w:ascii="Times New Roman" w:hAnsi="Times New Roman"/>
          <w:sz w:val="20"/>
        </w:rPr>
        <w:t>/год;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18.75pt;height:17.2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- экономия заработной платы высвободившихся проектировщиков, тыс. </w:t>
      </w:r>
      <w:proofErr w:type="spellStart"/>
      <w:r>
        <w:rPr>
          <w:rFonts w:ascii="Times New Roman" w:hAnsi="Times New Roman"/>
          <w:sz w:val="20"/>
        </w:rPr>
        <w:t>руб</w:t>
      </w:r>
      <w:proofErr w:type="spellEnd"/>
      <w:r>
        <w:rPr>
          <w:rFonts w:ascii="Times New Roman" w:hAnsi="Times New Roman"/>
          <w:sz w:val="20"/>
        </w:rPr>
        <w:t>/год;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14.25pt;height:17.2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- экономический эффект от уменьшения себестоимости проектно-изыскательских работ, тыс. </w:t>
      </w:r>
      <w:proofErr w:type="spellStart"/>
      <w:r>
        <w:rPr>
          <w:rFonts w:ascii="Times New Roman" w:hAnsi="Times New Roman"/>
          <w:sz w:val="20"/>
        </w:rPr>
        <w:t>руб</w:t>
      </w:r>
      <w:proofErr w:type="spellEnd"/>
      <w:r>
        <w:rPr>
          <w:rFonts w:ascii="Times New Roman" w:hAnsi="Times New Roman"/>
          <w:sz w:val="20"/>
        </w:rPr>
        <w:t>/год.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Формы документов оперативной информации при управлении </w:t>
      </w: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застройки города (примерные)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1</w:t>
      </w:r>
    </w:p>
    <w:p w:rsidR="00000000" w:rsidRDefault="00B12A8D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4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организации)</w:t>
            </w:r>
          </w:p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</w:tcPr>
          <w:p w:rsidR="00000000" w:rsidRDefault="00B12A8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плану ____________________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(Фамилия исполнителя)</w:t>
            </w:r>
          </w:p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</w:tcPr>
          <w:p w:rsidR="00000000" w:rsidRDefault="00B12A8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Предъявлено</w:t>
            </w:r>
            <w:r>
              <w:rPr>
                <w:rFonts w:ascii="Times New Roman" w:hAnsi="Times New Roman"/>
                <w:sz w:val="20"/>
              </w:rPr>
              <w:t xml:space="preserve"> _________________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</w:tcPr>
          <w:p w:rsidR="00000000" w:rsidRDefault="00B12A8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Утверждаю ___________________тыс.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(Должность, фамилия, и., о.)</w:t>
            </w:r>
          </w:p>
        </w:tc>
        <w:tc>
          <w:tcPr>
            <w:tcW w:w="4395" w:type="dxa"/>
          </w:tcPr>
          <w:p w:rsidR="00000000" w:rsidRDefault="00B12A8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</w:t>
            </w:r>
          </w:p>
          <w:p w:rsidR="00000000" w:rsidRDefault="00B12A8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 исполнителя)</w:t>
            </w:r>
          </w:p>
          <w:p w:rsidR="00000000" w:rsidRDefault="00B12A8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5" w:type="dxa"/>
          </w:tcPr>
          <w:p w:rsidR="00000000" w:rsidRDefault="00B12A8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"____" __________________ 19 ______ г.</w:t>
            </w:r>
          </w:p>
          <w:p w:rsidR="00000000" w:rsidRDefault="00B12A8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ОПЕРАТИВНОЕ РАБОЧЕЕ ЗАДАНИЕ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p w:rsidR="00000000" w:rsidRDefault="00B12A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выполнение ___________________________________________________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видов (комплексов) работ)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"____"___________________ по "_____" ___________________ 19 _____г.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5"/>
        <w:gridCol w:w="810"/>
        <w:gridCol w:w="615"/>
        <w:gridCol w:w="885"/>
        <w:gridCol w:w="806"/>
        <w:gridCol w:w="470"/>
        <w:gridCol w:w="567"/>
        <w:gridCol w:w="656"/>
        <w:gridCol w:w="656"/>
        <w:gridCol w:w="656"/>
        <w:gridCol w:w="656"/>
        <w:gridCol w:w="643"/>
        <w:gridCol w:w="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сетевого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видов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</w:t>
            </w:r>
            <w:r>
              <w:rPr>
                <w:rFonts w:ascii="Times New Roman" w:hAnsi="Times New Roman"/>
                <w:sz w:val="20"/>
              </w:rPr>
              <w:t xml:space="preserve">ицы </w:t>
            </w:r>
            <w:proofErr w:type="spellStart"/>
            <w:r>
              <w:rPr>
                <w:rFonts w:ascii="Times New Roman" w:hAnsi="Times New Roman"/>
                <w:sz w:val="20"/>
              </w:rPr>
              <w:t>измер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работ по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Выполнено работ 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Стоимость работ </w:t>
            </w: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График выполнения работ (по неделям, декадам)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Итоги работы за плановый период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графика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(операций) работ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ения</w:t>
            </w:r>
            <w:proofErr w:type="spellEnd"/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проекту (смета)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начало планируемого периода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 работ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"  "    с "  "    с "  "    с "  "</w:t>
            </w:r>
          </w:p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"  "  по "  "  по "  "  по "  "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физических объемах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 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фактически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фактически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фактически 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рабочей группы _________________</w:t>
      </w:r>
    </w:p>
    <w:p w:rsidR="00000000" w:rsidRDefault="00B12A8D">
      <w:pPr>
        <w:ind w:firstLine="32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(Подпись)</w:t>
      </w: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B12A8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№ 2 </w:t>
      </w:r>
    </w:p>
    <w:p w:rsidR="00000000" w:rsidRDefault="00B12A8D">
      <w:pPr>
        <w:jc w:val="right"/>
        <w:rPr>
          <w:rFonts w:ascii="Times New Roman" w:hAnsi="Times New Roman"/>
          <w:sz w:val="20"/>
        </w:rPr>
      </w:pPr>
    </w:p>
    <w:p w:rsidR="00000000" w:rsidRDefault="00B12A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Информация о выполнении работ 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с______________ по _______________ 19___г.</w:t>
      </w:r>
    </w:p>
    <w:p w:rsidR="00000000" w:rsidRDefault="00B12A8D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5"/>
        <w:gridCol w:w="810"/>
        <w:gridCol w:w="855"/>
        <w:gridCol w:w="855"/>
        <w:gridCol w:w="1125"/>
        <w:gridCol w:w="960"/>
        <w:gridCol w:w="1125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объектов 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</w:t>
            </w:r>
          </w:p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работ 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начала работ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Причины отклонения от планов и предложения по их ликвидации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шифр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графику чел./</w:t>
            </w:r>
            <w:proofErr w:type="spellStart"/>
            <w:r>
              <w:rPr>
                <w:rFonts w:ascii="Times New Roman" w:hAnsi="Times New Roman"/>
                <w:sz w:val="20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фактически, чел./</w:t>
            </w:r>
            <w:proofErr w:type="spellStart"/>
            <w:r>
              <w:rPr>
                <w:rFonts w:ascii="Times New Roman" w:hAnsi="Times New Roman"/>
                <w:sz w:val="20"/>
              </w:rPr>
              <w:t>мес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графику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фактически или ожидаемое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2A8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подачи информации _________</w:t>
            </w:r>
            <w:r>
              <w:rPr>
                <w:rFonts w:ascii="Times New Roman" w:hAnsi="Times New Roman"/>
                <w:sz w:val="20"/>
              </w:rPr>
              <w:t>_____</w:t>
            </w:r>
          </w:p>
        </w:tc>
        <w:tc>
          <w:tcPr>
            <w:tcW w:w="4110" w:type="dxa"/>
          </w:tcPr>
          <w:p w:rsidR="00000000" w:rsidRDefault="00B12A8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 _____________</w:t>
            </w:r>
          </w:p>
          <w:p w:rsidR="00000000" w:rsidRDefault="00B12A8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  <w:p w:rsidR="00000000" w:rsidRDefault="00B12A8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12A8D">
      <w:pPr>
        <w:ind w:firstLine="225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A8D"/>
    <w:rsid w:val="00B1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7535</Words>
  <Characters>42956</Characters>
  <Application>Microsoft Office Word</Application>
  <DocSecurity>0</DocSecurity>
  <Lines>357</Lines>
  <Paragraphs>100</Paragraphs>
  <ScaleCrop>false</ScaleCrop>
  <Company> </Company>
  <LinksUpToDate>false</LinksUpToDate>
  <CharactersWithSpaces>50391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СН 508-78 </dc:title>
  <dc:subject/>
  <dc:creator> ЦНТИ</dc:creator>
  <cp:keywords/>
  <dc:description/>
  <cp:lastModifiedBy>Parhomeiai</cp:lastModifiedBy>
  <cp:revision>2</cp:revision>
  <dcterms:created xsi:type="dcterms:W3CDTF">2013-04-11T12:00:00Z</dcterms:created>
  <dcterms:modified xsi:type="dcterms:W3CDTF">2013-04-11T12:00:00Z</dcterms:modified>
</cp:coreProperties>
</file>