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23C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 256-77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материалов и изделий  на 1 млн. руб. сметной стоимости 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строительно-монтажных работ на строительство объектов 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здравоохранения, просвещения, культуры и спорта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1978-01-01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Определены на основании </w:t>
      </w:r>
      <w:r>
        <w:rPr>
          <w:rFonts w:ascii="Times New Roman" w:hAnsi="Times New Roman"/>
          <w:sz w:val="20"/>
        </w:rPr>
        <w:t xml:space="preserve">показателей расхода материалов и изделий, разработанных по новым наиболее экономичным и широко применяемым типовым проектам, утвержденным </w:t>
      </w:r>
      <w:proofErr w:type="spellStart"/>
      <w:r>
        <w:rPr>
          <w:rFonts w:ascii="Times New Roman" w:hAnsi="Times New Roman"/>
          <w:sz w:val="20"/>
        </w:rPr>
        <w:t>Госгражданстроем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госстроями</w:t>
      </w:r>
      <w:proofErr w:type="spellEnd"/>
      <w:r>
        <w:rPr>
          <w:rFonts w:ascii="Times New Roman" w:hAnsi="Times New Roman"/>
          <w:sz w:val="20"/>
        </w:rPr>
        <w:t xml:space="preserve"> союзных республик.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по новым Методическим указаниям НИИ экономики строительства Госстроя СССР следующими проектными организациями: </w:t>
      </w:r>
      <w:proofErr w:type="spellStart"/>
      <w:r>
        <w:rPr>
          <w:rFonts w:ascii="Times New Roman" w:hAnsi="Times New Roman"/>
          <w:sz w:val="20"/>
        </w:rPr>
        <w:t>ЛенЗНИИЭП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ТбилЗНИИЭП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ТашЗНИИЭП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СибЗНИИЭП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КиевЗНИИЭП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ЦНИИЭП</w:t>
      </w:r>
      <w:proofErr w:type="spellEnd"/>
      <w:r>
        <w:rPr>
          <w:rFonts w:ascii="Times New Roman" w:hAnsi="Times New Roman"/>
          <w:sz w:val="20"/>
        </w:rPr>
        <w:t xml:space="preserve"> зрелищных зданий и спортивных сооружений имени Б. С. Мезенцева, </w:t>
      </w:r>
      <w:proofErr w:type="spellStart"/>
      <w:r>
        <w:rPr>
          <w:rFonts w:ascii="Times New Roman" w:hAnsi="Times New Roman"/>
          <w:sz w:val="20"/>
        </w:rPr>
        <w:t>ЦНИИЭП</w:t>
      </w:r>
      <w:proofErr w:type="spellEnd"/>
      <w:r>
        <w:rPr>
          <w:rFonts w:ascii="Times New Roman" w:hAnsi="Times New Roman"/>
          <w:sz w:val="20"/>
        </w:rPr>
        <w:t xml:space="preserve"> учебных зданий, </w:t>
      </w:r>
      <w:proofErr w:type="spellStart"/>
      <w:r>
        <w:rPr>
          <w:rFonts w:ascii="Times New Roman" w:hAnsi="Times New Roman"/>
          <w:sz w:val="20"/>
        </w:rPr>
        <w:t>ЦНИИЭПграждансельстрой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ЦНИИЭП</w:t>
      </w:r>
      <w:proofErr w:type="spellEnd"/>
      <w:r>
        <w:rPr>
          <w:rFonts w:ascii="Times New Roman" w:hAnsi="Times New Roman"/>
          <w:sz w:val="20"/>
        </w:rPr>
        <w:t xml:space="preserve"> лечебно-курортных з</w:t>
      </w:r>
      <w:r>
        <w:rPr>
          <w:rFonts w:ascii="Times New Roman" w:hAnsi="Times New Roman"/>
          <w:sz w:val="20"/>
        </w:rPr>
        <w:t xml:space="preserve">даний, Проектный институт Минздрава РСФСР, </w:t>
      </w:r>
      <w:proofErr w:type="spellStart"/>
      <w:r>
        <w:rPr>
          <w:rFonts w:ascii="Times New Roman" w:hAnsi="Times New Roman"/>
          <w:sz w:val="20"/>
        </w:rPr>
        <w:t>Гипронииздрав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Мосоргстрой</w:t>
      </w:r>
      <w:proofErr w:type="spellEnd"/>
      <w:r>
        <w:rPr>
          <w:rFonts w:ascii="Times New Roman" w:hAnsi="Times New Roman"/>
          <w:sz w:val="20"/>
        </w:rPr>
        <w:t xml:space="preserve"> Главмосстроя, </w:t>
      </w:r>
      <w:proofErr w:type="spellStart"/>
      <w:r>
        <w:rPr>
          <w:rFonts w:ascii="Times New Roman" w:hAnsi="Times New Roman"/>
          <w:sz w:val="20"/>
        </w:rPr>
        <w:t>Мосгражданпроект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Мосгипрониисельстрой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Ленинградоргстрой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Главленинградстроя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Росгипросельстрой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Белгоспроект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Белгипросельстрой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Гипропрос</w:t>
      </w:r>
      <w:proofErr w:type="spellEnd"/>
      <w:r>
        <w:rPr>
          <w:rFonts w:ascii="Times New Roman" w:hAnsi="Times New Roman"/>
          <w:sz w:val="20"/>
        </w:rPr>
        <w:t xml:space="preserve">, КБ по железобетону Госстроя РСФСР, </w:t>
      </w:r>
      <w:proofErr w:type="spellStart"/>
      <w:r>
        <w:rPr>
          <w:rFonts w:ascii="Times New Roman" w:hAnsi="Times New Roman"/>
          <w:sz w:val="20"/>
        </w:rPr>
        <w:t>Главкиеворгстрой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Киевпроект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Латгипрогорстрой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Латгипросельстрой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Эстонпроект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Грузгипросельстрой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Азгипросельстрой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Азгоспроект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Армгоспроект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Молдгипрострой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Молдгипрограждансельстрой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Казгорстройпроект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Туркменгоспроект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Таджикгипрострой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Киргизгип</w:t>
      </w:r>
      <w:r>
        <w:rPr>
          <w:rFonts w:ascii="Times New Roman" w:hAnsi="Times New Roman"/>
          <w:sz w:val="20"/>
        </w:rPr>
        <w:t>рострой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УзНИИПградостроительства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Средазгипроздрав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Гипровуз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Гипротеатр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Научно-исследовательским институтом экономики строительства Госстроя СССР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Госстроем СССР и Госпланом СССР 23 мая 1977 г. № 64/70.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256-69    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ЧАСТЬ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материалов и изделий при определении потребности в материальных ресурсах на культурно-бытовое строительство, осуществляемое министерствами, ведомствами СССР и советами министров сою</w:t>
      </w:r>
      <w:r>
        <w:rPr>
          <w:rFonts w:ascii="Times New Roman" w:hAnsi="Times New Roman"/>
          <w:sz w:val="20"/>
        </w:rPr>
        <w:t>зных республик.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норм для определения потребности в материалах и изделиях на строительство отдельных объектов или групп объектов не допускается.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определены по рабочим чертежам типовых проектов общественных зданий и сооружений и сметам к ним, учитывают расход материалов и изделий на выполнение строительно-монтажных работ, предусмотренных типовыми проектами на следующие нужды: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временных зданий и сооружений, затраты на которые включаются в сводные сметы на строительство;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</w:t>
      </w:r>
      <w:r>
        <w:rPr>
          <w:rFonts w:ascii="Times New Roman" w:hAnsi="Times New Roman"/>
          <w:sz w:val="20"/>
        </w:rPr>
        <w:t>, выполняемые за счет накладных расходов;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поделки при производстве электромонтажных, санитарно-технических работ и при монтаже железобетонных и стальных конструкций и оборудования;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привязку типовых проектов общественных зданий и сооружений к местным условиям строительства;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благоустройство и возведение объектов вспомогательного назначения на территории застройки.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нормах учтены отходы и потери материалов при производстве строительно-монтажных работ и изготовлении строительных конструкций и изделий.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</w:t>
      </w:r>
      <w:r>
        <w:rPr>
          <w:rFonts w:ascii="Times New Roman" w:hAnsi="Times New Roman"/>
          <w:sz w:val="20"/>
        </w:rPr>
        <w:t xml:space="preserve">рмы расхода стали определены в стали классов </w:t>
      </w:r>
      <w:proofErr w:type="spellStart"/>
      <w:r>
        <w:rPr>
          <w:rFonts w:ascii="Times New Roman" w:hAnsi="Times New Roman"/>
          <w:sz w:val="20"/>
        </w:rPr>
        <w:t>A-I</w:t>
      </w:r>
      <w:proofErr w:type="spellEnd"/>
      <w:r>
        <w:rPr>
          <w:rFonts w:ascii="Times New Roman" w:hAnsi="Times New Roman"/>
          <w:sz w:val="20"/>
        </w:rPr>
        <w:t xml:space="preserve"> и С38/23 и предусматривают расход на: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изготовление арматуры, закладных частей и деталей для сборных и монолитных железобетонных конструкций;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поверхностями (кроме ответных);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выполнение строительно-монтажных работ - кровельных, санитарно-технических, электромонтажных, вентиляционных, теплоизоляционных, </w:t>
      </w:r>
      <w:proofErr w:type="spellStart"/>
      <w:r>
        <w:rPr>
          <w:rFonts w:ascii="Times New Roman" w:hAnsi="Times New Roman"/>
          <w:sz w:val="20"/>
        </w:rPr>
        <w:t>окожушивания</w:t>
      </w:r>
      <w:proofErr w:type="spellEnd"/>
      <w:r>
        <w:rPr>
          <w:rFonts w:ascii="Times New Roman" w:hAnsi="Times New Roman"/>
          <w:sz w:val="20"/>
        </w:rPr>
        <w:t xml:space="preserve"> и др.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расход: стального шпунта для производства работ (кроме шпунта, предусмотренного проектом в качестве постоянного элемента конструкций), рельсов, литья, поковок и штамповок, метизов, проволочной сетки (кроме арматурной), скобяных и дру</w:t>
      </w:r>
      <w:r>
        <w:rPr>
          <w:rFonts w:ascii="Times New Roman" w:hAnsi="Times New Roman"/>
          <w:sz w:val="20"/>
        </w:rPr>
        <w:t>гих изделий, подвергаемых при изготовлении механической обработке.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Нормы учитывают расход профилей и листов из алюминиевых сплавов на изготовление оконных и дверных блоков, витражей, подвесных потолков, звукоизоляцию, теплоизоляцию, </w:t>
      </w:r>
      <w:proofErr w:type="spellStart"/>
      <w:r>
        <w:rPr>
          <w:rFonts w:ascii="Times New Roman" w:hAnsi="Times New Roman"/>
          <w:sz w:val="20"/>
        </w:rPr>
        <w:t>окожушивание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</w:t>
      </w:r>
      <w:r>
        <w:rPr>
          <w:rFonts w:ascii="Times New Roman" w:hAnsi="Times New Roman"/>
          <w:sz w:val="20"/>
        </w:rPr>
        <w:t xml:space="preserve"> определены из условий применения материалов и технологии изготовления изделий, принятых при разработке Типовых норм расхода цемента для бетонов, сборных бетонных и железобетонных изделий массового производства.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400.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средняя марка поставляемого потребителю цемента отличается от марки 400, то к средней расчетной норме расхода цемента должна вводиться поправка (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) на марочную прочность, рассчитываемая по формуле     </w:t>
      </w:r>
    </w:p>
    <w:p w:rsidR="00000000" w:rsidRDefault="00A323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±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4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= (400 -</w:t>
      </w:r>
      <w:r>
        <w:rPr>
          <w:rFonts w:ascii="Times New Roman" w:hAnsi="Times New Roman"/>
          <w:position w:val="-10"/>
          <w:sz w:val="20"/>
        </w:rPr>
        <w:pict>
          <v:shape id="_x0000_i1027" type="#_x0000_t75" style="width:20.25pt;height:18.75pt">
            <v:imagedata r:id="rId5" o:title=""/>
          </v:shape>
        </w:pict>
      </w:r>
      <w:r>
        <w:rPr>
          <w:rFonts w:ascii="Times New Roman" w:hAnsi="Times New Roman"/>
          <w:sz w:val="20"/>
        </w:rPr>
        <w:t>) 0,1%,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20.25pt;height:18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средняя марка поставляемого цемента;</w:t>
      </w:r>
    </w:p>
    <w:p w:rsidR="00000000" w:rsidRDefault="00A323C5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0,1 - средний коэффициент использования марочной прочности цемента (10%) на 100 единиц марки цемента.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нормах расхода пиломатериалов, лесоматериалов круглых, древесноволокнистых и древесностружечных плит и фанеры клееной учтен их расход на изготовление деревянных конструкций и изделий, предусмотренных проектом.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учитывают расход их на изготовление паркетных досок и щитового паркета (кроме паркетной клепки).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опр</w:t>
      </w:r>
      <w:r>
        <w:rPr>
          <w:rFonts w:ascii="Times New Roman" w:hAnsi="Times New Roman"/>
          <w:sz w:val="20"/>
        </w:rPr>
        <w:t xml:space="preserve">еделены в </w:t>
      </w:r>
      <w:proofErr w:type="spellStart"/>
      <w:r>
        <w:rPr>
          <w:rFonts w:ascii="Times New Roman" w:hAnsi="Times New Roman"/>
          <w:sz w:val="20"/>
        </w:rPr>
        <w:t>необрезных</w:t>
      </w:r>
      <w:proofErr w:type="spellEnd"/>
      <w:r>
        <w:rPr>
          <w:rFonts w:ascii="Times New Roman" w:hAnsi="Times New Roman"/>
          <w:sz w:val="20"/>
        </w:rPr>
        <w:t xml:space="preserve"> пиломатериалах.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нормах не учтен расход лесоматериалов на столбы и приставки для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>, связи и освещения, а также на опалубку для изготовления сборных бетонных и железобетонных изделий.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расхода стекла оконного учитывают расход стекла листового оконного, узорчатого, армированного, цветного и солнцезащитного, стекла плоского закаленного (</w:t>
      </w:r>
      <w:proofErr w:type="spellStart"/>
      <w:r>
        <w:rPr>
          <w:rFonts w:ascii="Times New Roman" w:hAnsi="Times New Roman"/>
          <w:sz w:val="20"/>
        </w:rPr>
        <w:t>стемалита</w:t>
      </w:r>
      <w:proofErr w:type="spellEnd"/>
      <w:r>
        <w:rPr>
          <w:rFonts w:ascii="Times New Roman" w:hAnsi="Times New Roman"/>
          <w:sz w:val="20"/>
        </w:rPr>
        <w:t>) и стеклопакетов.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оконного учитывают применение заказного стекла согласно ГОСТам: "Стекло оконно</w:t>
      </w:r>
      <w:r>
        <w:rPr>
          <w:rFonts w:ascii="Times New Roman" w:hAnsi="Times New Roman"/>
          <w:sz w:val="20"/>
        </w:rPr>
        <w:t>е листовое", "Окна и балконные двери деревянные для жилых и общественных зданий".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витринного учитывают расход стекла полированного и неполированного.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Для окраски дверей, окон, дощатых полов, стен, трубопроводов, решеток ограждений и других конструкций и изделий условно принято применение олифы и белил.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замене олифы и белил другими материалами аналогичного назначения в соответствии с требова</w:t>
      </w:r>
      <w:r>
        <w:rPr>
          <w:rFonts w:ascii="Times New Roman" w:hAnsi="Times New Roman"/>
          <w:sz w:val="20"/>
        </w:rPr>
        <w:t>ниями Технических правил по экономному расходованию основных строительных материалов, а также других документов, устанавливающих меры по снижению расхода олифы и белил, нормы их расхода должны уточняться в зависимости от качества и количества, выделяемых заменителей.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, толя, пергамина,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на устройство кровли, гидроизоляции и другие работы, предусмотренные проектами.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Нормы учиты</w:t>
      </w:r>
      <w:r>
        <w:rPr>
          <w:rFonts w:ascii="Times New Roman" w:hAnsi="Times New Roman"/>
          <w:sz w:val="20"/>
        </w:rPr>
        <w:t xml:space="preserve">вают расход </w:t>
      </w:r>
      <w:proofErr w:type="spellStart"/>
      <w:r>
        <w:rPr>
          <w:rFonts w:ascii="Times New Roman" w:hAnsi="Times New Roman"/>
          <w:sz w:val="20"/>
        </w:rPr>
        <w:t>нефтебитума</w:t>
      </w:r>
      <w:proofErr w:type="spellEnd"/>
      <w:r>
        <w:rPr>
          <w:rFonts w:ascii="Times New Roman" w:hAnsi="Times New Roman"/>
          <w:sz w:val="20"/>
        </w:rPr>
        <w:t xml:space="preserve"> на изготовление мастик, асфальта и асфальтобетона.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Нормы учитывают расход труб, для всех видов трубопроводов, выполняемых в зданиях, сооружениях и на территории застройки, включая трубы для изготовления регистров, тепловых панелей,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  <w:r>
        <w:rPr>
          <w:rFonts w:ascii="Times New Roman" w:hAnsi="Times New Roman"/>
          <w:sz w:val="20"/>
        </w:rPr>
        <w:t xml:space="preserve">, грязевиков, гибких компенсаторов и для обустройства всех сооружений на внешних сетях (насосных станций перекачки, очистных сооружений и т. п.), на изготовление стальных фасонных соединительных деталей для чугунных и других напорных </w:t>
      </w:r>
      <w:r>
        <w:rPr>
          <w:rFonts w:ascii="Times New Roman" w:hAnsi="Times New Roman"/>
          <w:sz w:val="20"/>
        </w:rPr>
        <w:t>труб.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труб учитывают расход их на сооружение установок автоматического пожаротушения (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спринклерных</w:t>
      </w:r>
      <w:proofErr w:type="spellEnd"/>
      <w:r>
        <w:rPr>
          <w:rFonts w:ascii="Times New Roman" w:hAnsi="Times New Roman"/>
          <w:sz w:val="20"/>
        </w:rPr>
        <w:t>, газового пожаротушения и др.).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учтен расход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на монтаж контрольно-измерительных приборов и средств автоматики.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нормах расхода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учтено применение </w:t>
      </w:r>
      <w:proofErr w:type="spellStart"/>
      <w:r>
        <w:rPr>
          <w:rFonts w:ascii="Times New Roman" w:hAnsi="Times New Roman"/>
          <w:sz w:val="20"/>
        </w:rPr>
        <w:t>неоцинкованных</w:t>
      </w:r>
      <w:proofErr w:type="spellEnd"/>
      <w:r>
        <w:rPr>
          <w:rFonts w:ascii="Times New Roman" w:hAnsi="Times New Roman"/>
          <w:sz w:val="20"/>
        </w:rPr>
        <w:t xml:space="preserve"> труб на отопление и газоснабжение и оцинкованных труб на водопровод. Соединительные части в нормах расхода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не учтены, за исключением муфт, устанавлив</w:t>
      </w:r>
      <w:r>
        <w:rPr>
          <w:rFonts w:ascii="Times New Roman" w:hAnsi="Times New Roman"/>
          <w:sz w:val="20"/>
        </w:rPr>
        <w:t>аемых на концах труб.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расхода горячекатаных труб учтены трубы нефтепроводные бесшовные, катаные и обсадные.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не учитывают расход труб на производство </w:t>
      </w:r>
      <w:proofErr w:type="spellStart"/>
      <w:r>
        <w:rPr>
          <w:rFonts w:ascii="Times New Roman" w:hAnsi="Times New Roman"/>
          <w:sz w:val="20"/>
        </w:rPr>
        <w:t>гидромеханизированных</w:t>
      </w:r>
      <w:proofErr w:type="spellEnd"/>
      <w:r>
        <w:rPr>
          <w:rFonts w:ascii="Times New Roman" w:hAnsi="Times New Roman"/>
          <w:sz w:val="20"/>
        </w:rPr>
        <w:t xml:space="preserve"> работ, работ по площадочному (временному и постоянному)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 xml:space="preserve"> и работ по замораживанию грунтов.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расхода труб асбестоцементных учитывают расход напорных и безнапорных труб и муфт к ним.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Нормы расхода радиаторов, конвекторов отопительных и труб ребристых определены для расчетной зимней температуры наружно</w:t>
      </w:r>
      <w:r>
        <w:rPr>
          <w:rFonts w:ascii="Times New Roman" w:hAnsi="Times New Roman"/>
          <w:sz w:val="20"/>
        </w:rPr>
        <w:t>го воздуха минус 25 °С. При других расчетных температурах к средним расчетным нормам применяются коэффициенты, принимаемые для ближайшей к расчетной температуре, по следующей таблице: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зимняя температура наружного воздуха, в °С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- 10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- 35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- 45 </w:t>
            </w:r>
          </w:p>
        </w:tc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1,221 </w:t>
            </w:r>
          </w:p>
        </w:tc>
      </w:tr>
    </w:tbl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нескольких районах с различной расчетной зимней температурой определение средневзвешенной расчетной температуры произв</w:t>
      </w:r>
      <w:r>
        <w:rPr>
          <w:rFonts w:ascii="Times New Roman" w:hAnsi="Times New Roman"/>
          <w:sz w:val="20"/>
        </w:rPr>
        <w:t>одится по удельному весу объемов строительно-монтажных работ и расчетным температурам в этих районах (прил. 1).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Нормы не учитывают дополнительного расхода материалов на производство работ в зимнее время.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необходимо применять территориальные коэффициенты (прил. 1) и поправки К</w:t>
      </w:r>
      <w:r>
        <w:rPr>
          <w:rFonts w:ascii="Times New Roman" w:hAnsi="Times New Roman"/>
          <w:position w:val="-10"/>
          <w:sz w:val="20"/>
        </w:rPr>
        <w:pict>
          <v:shape id="_x0000_i1029" type="#_x0000_t75" style="width:9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9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согласно прил. 2.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При замене традиционных материалов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Нормы не</w:t>
      </w:r>
      <w:r>
        <w:rPr>
          <w:rFonts w:ascii="Times New Roman" w:hAnsi="Times New Roman"/>
          <w:sz w:val="20"/>
        </w:rPr>
        <w:t xml:space="preserve"> учитывают потери материалов и изделий при транспортировании их от поставщика до склада строительства, а также при погрузочно-разгрузочных операциях и хранении на складах.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и изделий на 1 млн. руб. сметной стоимости строительно-монтажных работ на строительство объектов здравоохранения, просвещения, культуры и спорта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3240"/>
        <w:gridCol w:w="540"/>
        <w:gridCol w:w="1157"/>
        <w:gridCol w:w="1351"/>
        <w:gridCol w:w="1342"/>
        <w:gridCol w:w="1217"/>
        <w:gridCol w:w="1051"/>
        <w:gridCol w:w="1418"/>
        <w:gridCol w:w="1331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1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классов </w:t>
            </w:r>
            <w:proofErr w:type="spellStart"/>
            <w:r>
              <w:rPr>
                <w:rFonts w:ascii="Times New Roman" w:hAnsi="Times New Roman"/>
                <w:sz w:val="20"/>
              </w:rPr>
              <w:t>А-I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С38/23, т: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Профили и </w:t>
            </w:r>
          </w:p>
        </w:tc>
        <w:tc>
          <w:tcPr>
            <w:tcW w:w="15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Стальной канат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1418" w:type="dxa"/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листы из </w:t>
            </w:r>
          </w:p>
        </w:tc>
        <w:tc>
          <w:tcPr>
            <w:tcW w:w="1504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трос) 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0" w:type="dxa"/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железобетон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конструкции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работы </w:t>
            </w:r>
          </w:p>
        </w:tc>
        <w:tc>
          <w:tcPr>
            <w:tcW w:w="1418" w:type="dxa"/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тельных конструкций, т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алюминиевых сплавов, т </w:t>
            </w:r>
          </w:p>
        </w:tc>
        <w:tc>
          <w:tcPr>
            <w:tcW w:w="1504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3.75pt;height:6pt">
                  <v:imagedata r:id="rId8" o:title=""/>
                </v:shape>
              </w:pic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Крупноблочные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547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456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Каркасно-панельные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33,1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423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513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247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477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</w:t>
            </w:r>
            <w:r>
              <w:rPr>
                <w:rFonts w:ascii="Times New Roman" w:hAnsi="Times New Roman"/>
                <w:sz w:val="20"/>
              </w:rPr>
              <w:t>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ОБЫЧНЫХ </w:t>
            </w:r>
            <w:r>
              <w:rPr>
                <w:rFonts w:ascii="Times New Roman" w:hAnsi="Times New Roman"/>
                <w:sz w:val="20"/>
              </w:rPr>
              <w:t>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559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 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</w:tc>
        <w:tc>
          <w:tcPr>
            <w:tcW w:w="1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418 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3195"/>
        <w:gridCol w:w="540"/>
        <w:gridCol w:w="1000"/>
        <w:gridCol w:w="1276"/>
        <w:gridCol w:w="1063"/>
        <w:gridCol w:w="1505"/>
        <w:gridCol w:w="1332"/>
        <w:gridCol w:w="1461"/>
        <w:gridCol w:w="1613"/>
        <w:gridCol w:w="1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листы, тыс. </w:t>
            </w:r>
            <w:proofErr w:type="spellStart"/>
            <w:r>
              <w:rPr>
                <w:rFonts w:ascii="Times New Roman" w:hAnsi="Times New Roman"/>
                <w:sz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</w:rPr>
              <w:t>. плиток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 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9pt;height:17.25pt">
                  <v:imagedata r:id="rId9" o:title=""/>
                </v:shape>
              </w:pic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9pt;height:17.25pt">
                  <v:imagedata r:id="rId9" o:title=""/>
                </v:shape>
              </w:pic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9pt;height:17.25pt">
                  <v:imagedata r:id="rId9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9pt;height:17.25pt">
                  <v:imagedata r:id="rId9" o:title=""/>
                </v:shape>
              </w:pic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9pt;height:17.25pt">
                  <v:imagedata r:id="rId9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обыкновенного профиля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усиленного профиля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4420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583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Крупноблочные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623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1039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2128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</w:t>
            </w:r>
            <w:r>
              <w:rPr>
                <w:rFonts w:ascii="Times New Roman" w:hAnsi="Times New Roman"/>
                <w:sz w:val="20"/>
              </w:rPr>
              <w:t>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747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2995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665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2363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1218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3417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194,4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1451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1993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>. КУЛЬТУРНО- ПРОСВ</w:t>
            </w:r>
            <w:r>
              <w:rPr>
                <w:rFonts w:ascii="Times New Roman" w:hAnsi="Times New Roman"/>
                <w:sz w:val="20"/>
              </w:rPr>
              <w:t xml:space="preserve">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1288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881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1138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1528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2115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1643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59,4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728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50,4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651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158,4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896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1028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</w:t>
            </w:r>
            <w:r>
              <w:rPr>
                <w:rFonts w:ascii="Times New Roman" w:hAnsi="Times New Roman"/>
                <w:sz w:val="20"/>
              </w:rPr>
              <w:t>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1362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1008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992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1588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</w:t>
            </w:r>
            <w:r>
              <w:rPr>
                <w:rFonts w:ascii="Times New Roman" w:hAnsi="Times New Roman"/>
                <w:sz w:val="20"/>
              </w:rPr>
              <w:t>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592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237,6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1066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805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1717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1126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1573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</w:t>
            </w:r>
            <w:r>
              <w:rPr>
                <w:rFonts w:ascii="Times New Roman" w:hAnsi="Times New Roman"/>
                <w:sz w:val="20"/>
              </w:rPr>
              <w:t>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1965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521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2191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2002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</w:t>
            </w:r>
            <w:r>
              <w:rPr>
                <w:rFonts w:ascii="Times New Roman" w:hAnsi="Times New Roman"/>
                <w:sz w:val="20"/>
              </w:rPr>
              <w:t xml:space="preserve">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1207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1657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1087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1518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479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786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1813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757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1058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618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</w:t>
            </w:r>
            <w:r>
              <w:rPr>
                <w:rFonts w:ascii="Times New Roman" w:hAnsi="Times New Roman"/>
                <w:sz w:val="20"/>
              </w:rPr>
              <w:t>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544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159,3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1426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726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1509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учреждения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5816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682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2927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731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2910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783 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</w:t>
            </w:r>
            <w:r>
              <w:rPr>
                <w:rFonts w:ascii="Times New Roman" w:hAnsi="Times New Roman"/>
                <w:sz w:val="20"/>
              </w:rPr>
              <w:t>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1806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3310 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 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783 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 </w:t>
            </w: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29,7 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3225"/>
        <w:gridCol w:w="540"/>
        <w:gridCol w:w="1537"/>
        <w:gridCol w:w="992"/>
        <w:gridCol w:w="1276"/>
        <w:gridCol w:w="1418"/>
        <w:gridCol w:w="1417"/>
        <w:gridCol w:w="1164"/>
        <w:gridCol w:w="1354"/>
        <w:gridCol w:w="1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Древесноволокнистые плиты,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9pt;height:17.25pt">
                  <v:imagedata r:id="rId10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Лесоматериалы, круглые,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9pt;height:17.25pt">
                  <v:imagedata r:id="rId9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9pt;height:17.25pt">
                  <v:imagedata r:id="rId9" o:title=""/>
                </v:shape>
              </w:pic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и полутвердые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изоляционные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изоляционноотделочные</w:t>
            </w:r>
            <w:proofErr w:type="spellEnd"/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Древесностружечные плиты,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pt;height:17.25pt">
                  <v:imagedata r:id="rId9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Фанера клееная,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9pt;height:17.25pt">
                  <v:imagedata r:id="rId9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Паркет,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9pt;height:17.25pt">
                  <v:imagedata r:id="rId10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>. УЧЕБНЫЕ УЧРЕЖДЕНИЯ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</w:t>
            </w:r>
            <w:r>
              <w:rPr>
                <w:rFonts w:ascii="Times New Roman" w:hAnsi="Times New Roman"/>
                <w:sz w:val="20"/>
              </w:rPr>
              <w:t>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</w:t>
            </w:r>
            <w:r>
              <w:rPr>
                <w:rFonts w:ascii="Times New Roman" w:hAnsi="Times New Roman"/>
                <w:sz w:val="20"/>
              </w:rPr>
              <w:t xml:space="preserve">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1166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618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469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824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6812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8725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</w:t>
            </w:r>
            <w:r>
              <w:rPr>
                <w:rFonts w:ascii="Times New Roman" w:hAnsi="Times New Roman"/>
                <w:sz w:val="20"/>
              </w:rPr>
              <w:t>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5239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284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</w:t>
            </w:r>
            <w:r>
              <w:rPr>
                <w:rFonts w:ascii="Times New Roman" w:hAnsi="Times New Roman"/>
                <w:sz w:val="20"/>
              </w:rPr>
              <w:t>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9642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1356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1783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1477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2395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</w:t>
            </w:r>
            <w:r>
              <w:rPr>
                <w:rFonts w:ascii="Times New Roman" w:hAnsi="Times New Roman"/>
                <w:sz w:val="20"/>
              </w:rPr>
              <w:t>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6120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учреждения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1469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3225"/>
        <w:gridCol w:w="540"/>
        <w:gridCol w:w="970"/>
        <w:gridCol w:w="1134"/>
        <w:gridCol w:w="1254"/>
        <w:gridCol w:w="1298"/>
        <w:gridCol w:w="1768"/>
        <w:gridCol w:w="1401"/>
        <w:gridCol w:w="1578"/>
        <w:gridCol w:w="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строительное,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9pt;height:17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керамические,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9pt;height:17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оконное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витринное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профильное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стеклоблоки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Линолеум, </w:t>
            </w:r>
            <w:proofErr w:type="spellStart"/>
            <w:r>
              <w:rPr>
                <w:rFonts w:ascii="Times New Roman" w:hAnsi="Times New Roman"/>
                <w:sz w:val="20"/>
              </w:rPr>
              <w:t>релин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полимерные материалы для полов,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9pt;height:17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полов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внутренней облицовки стен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кислотоупорные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1889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1176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1578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1367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3247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</w:t>
            </w:r>
            <w:r>
              <w:rPr>
                <w:rFonts w:ascii="Times New Roman" w:hAnsi="Times New Roman"/>
                <w:sz w:val="20"/>
              </w:rPr>
              <w:t>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929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1386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3990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3141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2878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1705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3473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1027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</w:t>
            </w:r>
            <w:r>
              <w:rPr>
                <w:rFonts w:ascii="Times New Roman" w:hAnsi="Times New Roman"/>
                <w:sz w:val="20"/>
              </w:rPr>
              <w:t>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942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508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679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866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3171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2232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3772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468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659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</w:t>
            </w:r>
            <w:r>
              <w:rPr>
                <w:rFonts w:ascii="Times New Roman" w:hAnsi="Times New Roman"/>
                <w:sz w:val="20"/>
              </w:rPr>
              <w:t>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6310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2566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6264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4471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2106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2559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5551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1587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4372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5725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2585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3908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3268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3069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</w:t>
            </w:r>
            <w:r>
              <w:rPr>
                <w:rFonts w:ascii="Times New Roman" w:hAnsi="Times New Roman"/>
                <w:sz w:val="20"/>
              </w:rPr>
              <w:t xml:space="preserve">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4921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3353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4228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3792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4494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5374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4318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524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3659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4337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1359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2433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3199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2269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3431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2682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</w:t>
            </w:r>
            <w:r>
              <w:rPr>
                <w:rFonts w:ascii="Times New Roman" w:hAnsi="Times New Roman"/>
                <w:sz w:val="20"/>
              </w:rPr>
              <w:t xml:space="preserve">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4224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4815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3682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1504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2027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1576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3523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5390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3553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1956 </w:t>
            </w:r>
          </w:p>
        </w:tc>
        <w:tc>
          <w:tcPr>
            <w:tcW w:w="1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1521 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 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4664 </w:t>
            </w:r>
          </w:p>
        </w:tc>
        <w:tc>
          <w:tcPr>
            <w:tcW w:w="1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1791 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1901 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3225"/>
        <w:gridCol w:w="540"/>
        <w:gridCol w:w="1239"/>
        <w:gridCol w:w="1134"/>
        <w:gridCol w:w="1533"/>
        <w:gridCol w:w="1447"/>
        <w:gridCol w:w="1130"/>
        <w:gridCol w:w="1418"/>
        <w:gridCol w:w="9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10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79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Стальные, м/т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Чугунные,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электросварные диаметром, мм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водогазопроводные</w:t>
            </w:r>
            <w:proofErr w:type="spellEnd"/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тянутые и холодно-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114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114480 (</w:t>
            </w:r>
            <w:proofErr w:type="spellStart"/>
            <w:r>
              <w:rPr>
                <w:rFonts w:ascii="Times New Roman" w:hAnsi="Times New Roman"/>
                <w:sz w:val="20"/>
              </w:rPr>
              <w:t>вкл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480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горячекатаные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водопроводные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 и фасонные части к ним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10 119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10 650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11 299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</w:t>
            </w:r>
            <w:r>
              <w:rPr>
                <w:rFonts w:ascii="Times New Roman" w:hAnsi="Times New Roman"/>
                <w:sz w:val="20"/>
              </w:rPr>
              <w:t>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</w:t>
            </w:r>
            <w:r>
              <w:rPr>
                <w:rFonts w:ascii="Times New Roman" w:hAnsi="Times New Roman"/>
                <w:sz w:val="20"/>
              </w:rPr>
              <w:t>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7732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  <w:r>
              <w:rPr>
                <w:rFonts w:ascii="Times New Roman" w:hAnsi="Times New Roman"/>
                <w:sz w:val="20"/>
              </w:rPr>
              <w:t>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9334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17453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17727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13,6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18854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</w:t>
            </w:r>
            <w:r>
              <w:rPr>
                <w:rFonts w:ascii="Times New Roman" w:hAnsi="Times New Roman"/>
                <w:sz w:val="20"/>
              </w:rPr>
              <w:t>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9631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</w:t>
            </w:r>
            <w:r>
              <w:rPr>
                <w:rFonts w:ascii="Times New Roman" w:hAnsi="Times New Roman"/>
                <w:sz w:val="20"/>
              </w:rPr>
              <w:t>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10417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</w:t>
            </w:r>
            <w:r>
              <w:rPr>
                <w:rFonts w:ascii="Times New Roman" w:hAnsi="Times New Roman"/>
                <w:sz w:val="20"/>
              </w:rPr>
              <w:t>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9294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</w:t>
            </w:r>
            <w:r>
              <w:rPr>
                <w:rFonts w:ascii="Times New Roman" w:hAnsi="Times New Roman"/>
                <w:sz w:val="20"/>
              </w:rPr>
              <w:t>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5992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>. САНАТОРНО-КУРОРТНЫЕ УЧРЕЖДЕНИЯ</w:t>
            </w:r>
            <w:r>
              <w:rPr>
                <w:rFonts w:ascii="Times New Roman" w:hAnsi="Times New Roman"/>
                <w:sz w:val="20"/>
              </w:rPr>
              <w:t xml:space="preserve">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14,3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</w:t>
            </w:r>
            <w:r>
              <w:rPr>
                <w:rFonts w:ascii="Times New Roman" w:hAnsi="Times New Roman"/>
                <w:sz w:val="20"/>
              </w:rPr>
              <w:t>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9,1 </w:t>
            </w:r>
          </w:p>
        </w:tc>
        <w:tc>
          <w:tcPr>
            <w:tcW w:w="1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 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20,9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3225"/>
        <w:gridCol w:w="540"/>
        <w:gridCol w:w="1522"/>
        <w:gridCol w:w="1276"/>
        <w:gridCol w:w="1063"/>
        <w:gridCol w:w="1500"/>
        <w:gridCol w:w="1193"/>
        <w:gridCol w:w="1124"/>
        <w:gridCol w:w="1500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7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Нефтебитум</w:t>
            </w:r>
            <w:proofErr w:type="spellEnd"/>
            <w:r>
              <w:rPr>
                <w:rFonts w:ascii="Times New Roman" w:hAnsi="Times New Roman"/>
                <w:sz w:val="20"/>
              </w:rPr>
              <w:t>, т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522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1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пластмассовые и детали к ним, м/т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керамические канализационные, м условного диаметра 200 мм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и муфты к ним, м условных  труб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 железобетонные,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9pt;height:17.25pt">
                  <v:imagedata r:id="rId9" o:title=""/>
                </v:shape>
              </w:pic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полиолефиновые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твердых марок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44,8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111,6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Высшие учебные заведения (комплекс с главным </w:t>
            </w:r>
            <w:r>
              <w:rPr>
                <w:rFonts w:ascii="Times New Roman" w:hAnsi="Times New Roman"/>
                <w:sz w:val="20"/>
              </w:rPr>
              <w:t>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85,3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107,6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</w:t>
            </w:r>
            <w:r>
              <w:rPr>
                <w:rFonts w:ascii="Times New Roman" w:hAnsi="Times New Roman"/>
                <w:sz w:val="20"/>
              </w:rPr>
              <w:t>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27,9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06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</w:t>
            </w:r>
            <w:r>
              <w:rPr>
                <w:rFonts w:ascii="Times New Roman" w:hAnsi="Times New Roman"/>
                <w:sz w:val="20"/>
              </w:rPr>
              <w:t>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63,5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</w:t>
            </w:r>
            <w:r>
              <w:rPr>
                <w:rFonts w:ascii="Times New Roman" w:hAnsi="Times New Roman"/>
                <w:sz w:val="20"/>
              </w:rPr>
              <w:t>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>. ЛЕЧЕБНЫЕ УЧРЕЖДЕНИЯ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215,3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177,8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207,7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244,5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</w:t>
            </w:r>
            <w:r>
              <w:rPr>
                <w:rFonts w:ascii="Times New Roman" w:hAnsi="Times New Roman"/>
                <w:sz w:val="20"/>
              </w:rPr>
              <w:t>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18,7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192,3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238,2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59,4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1411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учреждения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1043 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16,8 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3225"/>
        <w:gridCol w:w="540"/>
        <w:gridCol w:w="813"/>
        <w:gridCol w:w="993"/>
        <w:gridCol w:w="1274"/>
        <w:gridCol w:w="1023"/>
        <w:gridCol w:w="1148"/>
        <w:gridCol w:w="1578"/>
        <w:gridCol w:w="1955"/>
        <w:gridCol w:w="1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№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строительства </w:t>
            </w:r>
          </w:p>
        </w:tc>
        <w:tc>
          <w:tcPr>
            <w:tcW w:w="6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изделия, шт.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и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813" w:type="dxa"/>
            <w:tcBorders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ванны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мойки </w:t>
            </w:r>
          </w:p>
        </w:tc>
        <w:tc>
          <w:tcPr>
            <w:tcW w:w="1274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умывальники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раковины 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унитазы 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писсуары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конвекторы отопительные, </w:t>
            </w:r>
            <w:proofErr w:type="spellStart"/>
            <w:r>
              <w:rPr>
                <w:rFonts w:ascii="Times New Roman" w:hAnsi="Times New Roman"/>
                <w:sz w:val="20"/>
              </w:rPr>
              <w:t>экм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ребристые,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9pt;height:17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</w:t>
            </w:r>
            <w:r>
              <w:rPr>
                <w:rFonts w:ascii="Times New Roman" w:hAnsi="Times New Roman"/>
                <w:sz w:val="20"/>
              </w:rPr>
              <w:t>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1929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1364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1324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2294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1349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</w:t>
            </w:r>
            <w:r>
              <w:rPr>
                <w:rFonts w:ascii="Times New Roman" w:hAnsi="Times New Roman"/>
                <w:sz w:val="20"/>
              </w:rPr>
              <w:t>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365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1474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944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781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2135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1895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2060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967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1318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1151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</w:t>
            </w:r>
            <w:r>
              <w:rPr>
                <w:rFonts w:ascii="Times New Roman" w:hAnsi="Times New Roman"/>
                <w:sz w:val="20"/>
              </w:rPr>
              <w:t>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1121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>. САНАТОРНО-КУРОРТНЫЕ УЧРЕЖДЕНИЯ И УЧРЕЖДЕНИЯ ОТДЫХА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1172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1756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</w:t>
            </w:r>
            <w:r>
              <w:rPr>
                <w:rFonts w:ascii="Times New Roman" w:hAnsi="Times New Roman"/>
                <w:sz w:val="20"/>
              </w:rPr>
              <w:t>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909 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1271 </w:t>
            </w:r>
          </w:p>
        </w:tc>
        <w:tc>
          <w:tcPr>
            <w:tcW w:w="1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3225"/>
        <w:gridCol w:w="555"/>
        <w:gridCol w:w="1947"/>
        <w:gridCol w:w="1339"/>
        <w:gridCol w:w="1237"/>
        <w:gridCol w:w="1005"/>
        <w:gridCol w:w="1381"/>
        <w:gridCol w:w="1078"/>
        <w:gridCol w:w="1354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947" w:type="dxa"/>
            <w:tcBorders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9pt;height:17.25pt">
                  <v:imagedata r:id="rId10" o:title=""/>
                </v:shape>
              </w:pic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и изделия из пластмасс, кг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Олифа, кг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Белила, кг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  <w:proofErr w:type="spellStart"/>
            <w:r>
              <w:rPr>
                <w:rFonts w:ascii="Times New Roman" w:hAnsi="Times New Roman"/>
                <w:sz w:val="20"/>
              </w:rPr>
              <w:t>цементнофибролитовые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арболитовые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9pt;height:17.25pt">
                  <v:imagedata r:id="rId11" o:title=""/>
                </v:shape>
              </w:pic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 блоки,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9pt;height:17.25pt">
                  <v:imagedata r:id="rId10" o:title=""/>
                </v:shape>
              </w:pic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блоки,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9pt;height:17.25pt">
                  <v:imagedata r:id="rId10" o:title=""/>
                </v:shape>
              </w:pic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чистого пола,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9pt;height:17.2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2354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2330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2059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5777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4819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2573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3225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4264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35,2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2437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3142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21,9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7278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5192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261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41,5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636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2697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28,9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2772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3326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</w:t>
            </w:r>
            <w:r>
              <w:rPr>
                <w:rFonts w:ascii="Times New Roman" w:hAnsi="Times New Roman"/>
                <w:sz w:val="20"/>
              </w:rPr>
              <w:t>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1439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824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3383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6190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8223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>. ДЕТСКИЕ УЧРЕЖДЕНИЯ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249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57,7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1524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2015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3161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2167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55,7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2124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</w:t>
            </w:r>
            <w:r>
              <w:rPr>
                <w:rFonts w:ascii="Times New Roman" w:hAnsi="Times New Roman"/>
                <w:sz w:val="20"/>
              </w:rPr>
              <w:t>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2429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30,9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2045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2547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4019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4659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3615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8384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6043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5065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3289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2448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3125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31,3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6056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4289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4873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239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47,4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5676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4557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3128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7762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286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8090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5831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1127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4888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3174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1042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11,9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4139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7881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5680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3092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914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4032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1277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7960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6163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18,8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1488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746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16,2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825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934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2719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1878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18,1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1436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15,6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886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1793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1134 </w:t>
            </w:r>
          </w:p>
        </w:tc>
        <w:tc>
          <w:tcPr>
            <w:tcW w:w="1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 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953 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3225"/>
        <w:gridCol w:w="555"/>
        <w:gridCol w:w="1365"/>
        <w:gridCol w:w="1602"/>
        <w:gridCol w:w="1473"/>
        <w:gridCol w:w="1324"/>
        <w:gridCol w:w="1196"/>
        <w:gridCol w:w="1130"/>
        <w:gridCol w:w="1198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</w:p>
        </w:tc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гипсовые обшивочные,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9pt;height:17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Минеральная вата,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9pt;height:17.25pt">
                  <v:imagedata r:id="rId11" o:title=""/>
                </v:shape>
              </w:pic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из минеральной ваты,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9pt;height:17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Кирпич, тыс. шт.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Известь, т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9pt;height:17.25pt">
                  <v:imagedata r:id="rId11" o:title=""/>
                </v:shape>
              </w:pic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Щебень, гравий, 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9pt;height:17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9pt;height:17.25pt">
                  <v:imagedata r:id="rId11" o:title=""/>
                </v:shape>
              </w:pic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</w:t>
            </w:r>
            <w:r>
              <w:rPr>
                <w:rFonts w:ascii="Times New Roman" w:hAnsi="Times New Roman"/>
                <w:sz w:val="20"/>
              </w:rPr>
              <w:t>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 и 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4281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7975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2141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4595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6406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5869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2829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5057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5644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1229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4884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4952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</w:t>
            </w:r>
            <w:r>
              <w:rPr>
                <w:rFonts w:ascii="Times New Roman" w:hAnsi="Times New Roman"/>
                <w:sz w:val="20"/>
              </w:rPr>
              <w:t>шие учебные заведения (комплекс с главным корпусом 10-14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722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265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6630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2095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6177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r>
              <w:rPr>
                <w:rFonts w:ascii="Times New Roman" w:hAnsi="Times New Roman"/>
                <w:sz w:val="20"/>
              </w:rPr>
              <w:t>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 общеобразовательные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827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3783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331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391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34420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447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Профтехучилища и техникумы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2205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КУЛЬТУРНО- ПРОСВЕТИТЕЛЬНЫЕ И СПОРТИВНЫЕ СООРУЖЕНИЯ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1239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4110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Административные здания для поселков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2201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736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5496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 культуры, клубы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5906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1798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615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7734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8817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бассейны для плавания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887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3972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</w:t>
            </w:r>
            <w:r>
              <w:rPr>
                <w:rFonts w:ascii="Times New Roman" w:hAnsi="Times New Roman"/>
                <w:sz w:val="20"/>
              </w:rPr>
              <w:t>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Кинотеатры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Спортивные корпуса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6035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Кинотеатры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1028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Деревянные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2649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2522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ДЕТСКИЕ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6438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8480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1259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</w:t>
            </w:r>
            <w:r>
              <w:rPr>
                <w:rFonts w:ascii="Times New Roman" w:hAnsi="Times New Roman"/>
                <w:sz w:val="20"/>
              </w:rPr>
              <w:t>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6463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6213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и каменные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5875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1972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4364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СТРОИТЕЛЬСТВА В РАЙОНАХ КРАЙНЕГО СЕВЕРА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ясли-сады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4811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3856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ЛЕЧЕБНЫЕ УЧРЕЖДЕНИЯ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</w:t>
            </w:r>
            <w:r>
              <w:rPr>
                <w:rFonts w:ascii="Times New Roman" w:hAnsi="Times New Roman"/>
                <w:sz w:val="20"/>
              </w:rPr>
              <w:t>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4475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 (с главным корпусом 7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4139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4748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732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322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918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Крупноблочные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467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5709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2756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Фельдшерско-акушерские пункты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1299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3672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7-8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4318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  <w:r>
              <w:rPr>
                <w:rFonts w:ascii="Times New Roman" w:hAnsi="Times New Roman"/>
                <w:sz w:val="20"/>
              </w:rPr>
              <w:t xml:space="preserve">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4582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311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3660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СЕЙСМИЧНОСТЬЮ 9 БАЛЛОВ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Больничные комплексы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 (с главным кор</w:t>
            </w:r>
            <w:r>
              <w:rPr>
                <w:rFonts w:ascii="Times New Roman" w:hAnsi="Times New Roman"/>
                <w:sz w:val="20"/>
              </w:rPr>
              <w:t>пусом 6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4206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 (с главным корпусом 5 этажей)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1484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4463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Диспансеры, роддома и отдельные корпуса больниц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3102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Поликлиники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Каркасно-панельные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3683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1698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3591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РАЙОНАХ КРАЙНЕГО СЕВЕРА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Больницы деревянные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1015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САНАТОРНО-КУРОРТНЫЕ УЧРЕЖДЕНИЯ И УЧРЕЖДЕНИЯ ОТДЫХА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ОБЫЧНЫХ УСЛОВИЯХ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1349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7058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1131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8180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Пионерские лагеря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3586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1406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9324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учреждения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СТРОИТЕЛЬСТВА В РАЙ</w:t>
            </w:r>
            <w:r>
              <w:rPr>
                <w:rFonts w:ascii="Times New Roman" w:hAnsi="Times New Roman"/>
                <w:sz w:val="20"/>
              </w:rPr>
              <w:t>ОНАХ СЕЙСМИЧНОСТЬЮ 7-8 БАЛЛОВ (ПОВЫШЕННОЙ ЭТАЖНОСТИ)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Санатории, дома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8010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Турбазы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169 </w:t>
            </w:r>
          </w:p>
        </w:tc>
        <w:tc>
          <w:tcPr>
            <w:tcW w:w="1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 </w:t>
            </w: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452 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9132 </w:t>
            </w:r>
          </w:p>
        </w:tc>
        <w:tc>
          <w:tcPr>
            <w:tcW w:w="10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корпуса учреждений отдыха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1317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 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</w:t>
            </w:r>
          </w:p>
        </w:tc>
        <w:tc>
          <w:tcPr>
            <w:tcW w:w="1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645 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5383 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4674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323C5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коэффициенты, продолжительность расчетного зимнего периода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расчетная зимняя температура наружного воздуха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122"/>
        <w:gridCol w:w="1559"/>
        <w:gridCol w:w="198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Район, республика, край и область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Территориальные коэффициенты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родолжительность расчетного зимнего периода,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Северо-Западный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Карельская АССР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 АССР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Ленинград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Мурманская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Новгородская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Псковская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Центральный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</w:t>
            </w:r>
            <w:r>
              <w:rPr>
                <w:rFonts w:ascii="Times New Roman" w:hAnsi="Times New Roman"/>
                <w:sz w:val="20"/>
              </w:rPr>
              <w:t xml:space="preserve">кая область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Калининская область 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Калужская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Смоленская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Тульская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Волго-Вятский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Поволжский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Волгоградская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Куйбышевская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Пензенская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Саратовская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Ульяновская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Центрально- черноземный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Липецкая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</w:t>
            </w:r>
            <w:proofErr w:type="spellEnd"/>
            <w:r>
              <w:rPr>
                <w:rFonts w:ascii="Times New Roman" w:hAnsi="Times New Roman"/>
                <w:sz w:val="20"/>
              </w:rPr>
              <w:t>. Северо-Кавказский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Северо-Осетинская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Краснодарский край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Ставропольский край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Уральский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Оренбургская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Свердловская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VIII</w:t>
            </w:r>
            <w:proofErr w:type="spellEnd"/>
            <w:r>
              <w:rPr>
                <w:rFonts w:ascii="Times New Roman" w:hAnsi="Times New Roman"/>
                <w:sz w:val="20"/>
              </w:rPr>
              <w:t>. Западно-Сибирский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Новосибирская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Томская обла</w:t>
            </w:r>
            <w:r>
              <w:rPr>
                <w:rFonts w:ascii="Times New Roman" w:hAnsi="Times New Roman"/>
                <w:sz w:val="20"/>
              </w:rPr>
              <w:t>сть: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южнее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севернее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область: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южнее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севернее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IX</w:t>
            </w:r>
            <w:proofErr w:type="spellEnd"/>
            <w:r>
              <w:rPr>
                <w:rFonts w:ascii="Times New Roman" w:hAnsi="Times New Roman"/>
                <w:sz w:val="20"/>
              </w:rPr>
              <w:t>. Восточно-Сибирский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Тувинская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южнее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севернее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Якутская </w:t>
            </w:r>
            <w:r>
              <w:rPr>
                <w:rFonts w:ascii="Times New Roman" w:hAnsi="Times New Roman"/>
                <w:sz w:val="20"/>
              </w:rPr>
              <w:t>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Магаданская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область: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южнее 60-й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севернее 60-й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параллели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Дальневосточный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Приморский край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Хабаровский край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Сахалинская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Ворошиловоградская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Днепропетровская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Донецкая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Кировоградская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Харьковская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Юго-Западный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Волынская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Житомирская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Закарпатская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Ивано-Франковская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Киев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Ровенская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Тернопольская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Хмельницкая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Черкасская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Черниговская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Черновицкая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Южный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Одесская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Херсонская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Прибалтийский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Литовская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Эстонская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Закавказский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Среднеазиатский район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Таджикская 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Туркменская ССР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</w:t>
            </w:r>
            <w:r>
              <w:rPr>
                <w:rFonts w:ascii="Times New Roman" w:hAnsi="Times New Roman"/>
                <w:sz w:val="20"/>
              </w:rPr>
              <w:t>я ССР: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Бухарская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Джизакская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Кашкадарьинская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Наманганская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Самаркандская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Сурхандарьинская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Сырдарьинская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Ташкент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Ферганская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2" w:type="dxa"/>
            <w:tcBorders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Хорезмская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XVII</w:t>
            </w:r>
            <w:proofErr w:type="spellEnd"/>
            <w:r>
              <w:rPr>
                <w:rFonts w:ascii="Times New Roman" w:hAnsi="Times New Roman"/>
                <w:sz w:val="20"/>
              </w:rPr>
              <w:t>. Казахстанский район</w:t>
            </w:r>
          </w:p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Алма-Ата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Алма-Атинская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Восточно-Казахстанская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Гурьевская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Джамбулская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Карагандинская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Джезказганская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Мангышлакская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Тургайская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Кзыл-Ординская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Кокчетавская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Кустанайская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Павлодарская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Северо-Казахстанская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Семипалатинская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164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Талды-Курганская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Уральская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Целиноградская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Чимкентская область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XVIII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Белорусская ССР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323C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XIX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Молдавская ССР 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-18 </w:t>
            </w:r>
          </w:p>
        </w:tc>
      </w:tr>
    </w:tbl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A323C5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РАСЧЕТА ПОПРАВОК К НОРМАМ РАС</w:t>
      </w:r>
      <w:r>
        <w:rPr>
          <w:rFonts w:ascii="Times New Roman" w:hAnsi="Times New Roman"/>
          <w:sz w:val="20"/>
        </w:rPr>
        <w:t xml:space="preserve">ХОДА МАТЕРИАЛОВ НА 1 млн. руб. СМЕТНОЙ СТОИМОСТИ СТРОИТЕЛЬНО-МОНТАЖНЫХ РАБОТ В СВЯЗИ С ПРОИЗВОДСТВОМ РАБОТ В ЗИМНЕЕ ВРЕМЯ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расчетных норм расхода материалов на 1 млн. рублей строительно-монтажных работ к средним нормам следует применять поправки, величина которых определяется по следующим формулам:      </w:t>
      </w:r>
    </w:p>
    <w:p w:rsidR="00000000" w:rsidRDefault="00A323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96.75pt;height:33pt">
            <v:imagedata r:id="rId12" o:title=""/>
          </v:shape>
        </w:pict>
      </w:r>
    </w:p>
    <w:p w:rsidR="00000000" w:rsidRDefault="00A323C5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A323C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57pt;height:30.75pt">
            <v:imagedata r:id="rId13" o:title=""/>
          </v:shape>
        </w:pict>
      </w:r>
    </w:p>
    <w:p w:rsidR="00000000" w:rsidRDefault="00A323C5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61" type="#_x0000_t75" style="width:15.75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>- коэффициент изменения средних норм расхода материалов, учитывающий удорожание работ, выполняемых в зимнее время;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0,07 - среднее удорожание работ, выполняемых в зимний период (7</w:t>
      </w:r>
      <w:r>
        <w:rPr>
          <w:rFonts w:ascii="Times New Roman" w:hAnsi="Times New Roman"/>
          <w:sz w:val="20"/>
        </w:rPr>
        <w:t xml:space="preserve"> %);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62" type="#_x0000_t75" style="width:14.2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средневзвешенная продолжительность расчетного зимнего периода, дни;</w:t>
      </w:r>
    </w:p>
    <w:p w:rsidR="00000000" w:rsidRDefault="00A323C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63" type="#_x0000_t75" style="width:18pt;height:17.25pt">
            <v:imagedata r:id="rId16" o:title=""/>
          </v:shape>
        </w:pict>
      </w:r>
      <w:r>
        <w:rPr>
          <w:rFonts w:ascii="Times New Roman" w:hAnsi="Times New Roman"/>
          <w:sz w:val="20"/>
        </w:rPr>
        <w:t>- дополнительная потребность в материалах на 1 млн. руб., вызываемая производством работ в зимнее время;</w:t>
      </w:r>
    </w:p>
    <w:p w:rsidR="00000000" w:rsidRDefault="00A323C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pict>
          <v:shape id="_x0000_i1064" type="#_x0000_t75" style="width:14.25pt;height:12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поправка к средним нормам расхода материалов на 1 млн. руб. сметной стоимости строительно-монтажных работ в связи с производством работ в зимних условиях, приведенная в табл. 1;</w:t>
      </w:r>
    </w:p>
    <w:p w:rsidR="00000000" w:rsidRDefault="00A323C5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365 -  календарное число дней в году.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Cpeднeвзвeшeннaя</w:t>
      </w:r>
      <w:proofErr w:type="spellEnd"/>
      <w:r>
        <w:rPr>
          <w:rFonts w:ascii="Times New Roman" w:hAnsi="Times New Roman"/>
          <w:sz w:val="20"/>
        </w:rPr>
        <w:t xml:space="preserve"> продолжительность расчетного зимнего периода (</w:t>
      </w:r>
      <w:r>
        <w:rPr>
          <w:rFonts w:ascii="Times New Roman" w:hAnsi="Times New Roman"/>
          <w:position w:val="-7"/>
          <w:sz w:val="20"/>
        </w:rPr>
        <w:pict>
          <v:shape id="_x0000_i1065" type="#_x0000_t75" style="width:14.2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) определяется при строительстве в различных </w:t>
      </w:r>
      <w:r>
        <w:rPr>
          <w:rFonts w:ascii="Times New Roman" w:hAnsi="Times New Roman"/>
          <w:sz w:val="20"/>
        </w:rPr>
        <w:t>районах с учетом удельного веса строительно-монтажных работ.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для различных районов СССР принимается по прил. 1.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2130"/>
        <w:gridCol w:w="2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Поправки к нормам на 1 млн. руб.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классов </w:t>
            </w:r>
            <w:proofErr w:type="spellStart"/>
            <w:r>
              <w:rPr>
                <w:rFonts w:ascii="Times New Roman" w:hAnsi="Times New Roman"/>
                <w:sz w:val="20"/>
              </w:rPr>
              <w:t>А-I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С38/23</w:t>
            </w:r>
          </w:p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2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9pt;height:17.25pt">
                  <v:imagedata r:id="rId18" o:title=""/>
                </v:shape>
              </w:pict>
            </w:r>
          </w:p>
        </w:tc>
        <w:tc>
          <w:tcPr>
            <w:tcW w:w="2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</w:t>
            </w:r>
          </w:p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</w:t>
            </w:r>
          </w:p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9pt;height:17.25pt">
                  <v:imagedata r:id="rId19" o:title=""/>
                </v:shape>
              </w:pict>
            </w:r>
          </w:p>
        </w:tc>
        <w:tc>
          <w:tcPr>
            <w:tcW w:w="2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  <w:p w:rsidR="00000000" w:rsidRDefault="00A323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9pt;height:17.25pt">
                  <v:imagedata r:id="rId19" o:title=""/>
                </v:shape>
              </w:pict>
            </w:r>
          </w:p>
        </w:tc>
        <w:tc>
          <w:tcPr>
            <w:tcW w:w="2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</w:tbl>
    <w:p w:rsidR="00000000" w:rsidRDefault="00A323C5">
      <w:pPr>
        <w:rPr>
          <w:rFonts w:ascii="Times New Roman" w:hAnsi="Times New Roman"/>
          <w:sz w:val="20"/>
          <w:lang w:val="en-US"/>
        </w:rPr>
      </w:pPr>
    </w:p>
    <w:p w:rsidR="00000000" w:rsidRDefault="00A323C5">
      <w:pPr>
        <w:rPr>
          <w:rFonts w:ascii="Times New Roman" w:hAnsi="Times New Roman"/>
          <w:sz w:val="20"/>
        </w:rPr>
      </w:pPr>
    </w:p>
    <w:p w:rsidR="00000000" w:rsidRDefault="00A323C5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1977-1978 гг. Госстроем СССР и Госпланом СССР были утверждены и введены в </w:t>
      </w:r>
      <w:r>
        <w:rPr>
          <w:rFonts w:ascii="Times New Roman" w:hAnsi="Times New Roman"/>
          <w:sz w:val="20"/>
        </w:rPr>
        <w:t xml:space="preserve">действие новые объектные нормы расхода материалов на 1 млн. руб. сметной стоимости строительно-монтажных работ для ряда отраслей народного хозяйства и на 1000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приведенной общей площади для жилищного строительства (табл. 1).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отраслей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документа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введения в действие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Жилищное строительство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445-77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января 1978 г.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Здравоохранение, просвещение, культура и спорт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256-77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Энергетическое строительство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498-77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Железнодорожный транспорт, автомобиль</w:t>
            </w:r>
            <w:r>
              <w:rPr>
                <w:rFonts w:ascii="Times New Roman" w:hAnsi="Times New Roman"/>
                <w:sz w:val="20"/>
              </w:rPr>
              <w:t>ный транспорт и строительство автомобильных дорог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499-77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промышленность, микробиологическая промышленность, геология и разведка недр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501-77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Мукомольно-крупяная и комбикормовая промышленность, водохозяйственное строительство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500-77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июля 1978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425-78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421-78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промышленность, нефтехимическая промышленность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424-78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строительных материалов. Строительство и промы</w:t>
            </w:r>
            <w:r>
              <w:rPr>
                <w:rFonts w:ascii="Times New Roman" w:hAnsi="Times New Roman"/>
                <w:sz w:val="20"/>
              </w:rPr>
              <w:t>шленность строительных конструкций и деталей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431-78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промышленность, пищевая промышленность, лесная и молочная промышленность, рыбная промышленность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412-78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Сельхозтехника</w:t>
            </w:r>
            <w:proofErr w:type="spellEnd"/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503-78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строительство, бытовое обслуживание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430-78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и деревообрабатывающая промышленность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415-70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Лесное хозяйство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414-78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августа 1978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 промышленность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504-78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Нефтеперерабатывающая промышленность, </w:t>
            </w:r>
            <w:r>
              <w:rPr>
                <w:rFonts w:ascii="Times New Roman" w:hAnsi="Times New Roman"/>
                <w:sz w:val="20"/>
              </w:rPr>
              <w:t>газовая промышленность, транспорт нефти и нефтепродуктов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505-78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 и общественное питание. Полиграфическая промышленность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506-78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</w:tbl>
    <w:p w:rsidR="00000000" w:rsidRDefault="00A323C5">
      <w:pPr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Новые нормы расхода материалов и изделий на строительство объектов здравоохранения, просвещения культуры и спорта (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256-77) разработаны  для различных условий строительства (обычных, сейсмических и районов Крайнего Севера). В проектах, отобранных для разработки указанных норм, приняты более совершенные объемно-планировочные и конструктивные решения</w:t>
      </w:r>
      <w:r>
        <w:rPr>
          <w:rFonts w:ascii="Times New Roman" w:hAnsi="Times New Roman"/>
          <w:sz w:val="20"/>
        </w:rPr>
        <w:t>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учебных учреждений разработаны с учетом: новой методики обучения по кабинетной системе в школах и аудиторным занятиям в вузах, развитых производственных мастерских, увеличенных объемов спортивных и актовых залов, более прогрессивных систем инженерного образования.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Проекты культурно-просветительных и спортивных сооружений разработаны по новым нормам проектирования и учитывают повышенные требования к объемно-планировочным и архитектурным решениям и предусматривают для посетителей более комфортные ус</w:t>
      </w:r>
      <w:r>
        <w:rPr>
          <w:rFonts w:ascii="Times New Roman" w:hAnsi="Times New Roman"/>
          <w:sz w:val="20"/>
        </w:rPr>
        <w:t>ловия. Проектами предусмотрено внедрение новых систем инженерного оборудования и пожаротушения. Внедрены конструктивные решения залов с неполным каркасом. Предусмотрено применение алюминиевых конструкций.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Новые типовые проекты детских учреждений предусматривают раздельные помещения для спальных и игровых комнат, залы для музыкального и дошкольного обучения. 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них приняты более совершенные решения ограждающих конструкций, учитывающие специфику детских учреждений, дополнительные эвакуационные выходы. Констру</w:t>
      </w:r>
      <w:r>
        <w:rPr>
          <w:rFonts w:ascii="Times New Roman" w:hAnsi="Times New Roman"/>
          <w:sz w:val="20"/>
        </w:rPr>
        <w:t>кции усовершенствованы с учетом экономного расхода металла и цемента.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Объемно-планировочные решения зданий здравоохранения в новых проектах существенно отличаются от ранее действовавших по площади и составу помещений. В новых нормах учтена повышенная этажность главных корпусов, расстановка нового медицинского оборудования и другие технологические требования.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Проектно-сметная документация предусматривает комплексное строительство многих общественных зданий (профтехучилищ, техникумов, домов отдыха, больниц и </w:t>
      </w:r>
      <w:r>
        <w:rPr>
          <w:rFonts w:ascii="Times New Roman" w:hAnsi="Times New Roman"/>
          <w:sz w:val="20"/>
        </w:rPr>
        <w:t>др.). В народнохозяйственных планах средства на их строительство выделяются также исходя из сметной стоимости всего комплекса. Новые нормы в связи с изложенным разработаны на комплексные объекты. Ранее действовавшие нормы (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256-69) определяли потребность в материалах на отдельные здания и корпуса объектов культурно-бытового назначения.</w:t>
      </w: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Ниже приводятся средние нормы расхода металла и цемента на культурно-бытовое строительство при применении новых объектных норм </w:t>
      </w:r>
      <w:proofErr w:type="spellStart"/>
      <w:r>
        <w:rPr>
          <w:rFonts w:ascii="Times New Roman" w:hAnsi="Times New Roman"/>
          <w:sz w:val="20"/>
        </w:rPr>
        <w:t>СН</w:t>
      </w:r>
      <w:proofErr w:type="spellEnd"/>
      <w:r>
        <w:rPr>
          <w:rFonts w:ascii="Times New Roman" w:hAnsi="Times New Roman"/>
          <w:sz w:val="20"/>
        </w:rPr>
        <w:t xml:space="preserve"> 256-77 (табл. 4).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A323C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0"/>
        <w:gridCol w:w="1710"/>
        <w:gridCol w:w="1695"/>
        <w:gridCol w:w="15"/>
        <w:gridCol w:w="1710"/>
        <w:gridCol w:w="1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Металл, т 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256-69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256-77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256-69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256-77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просвещения и культуры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339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1392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Здравоохранение</w:t>
            </w:r>
          </w:p>
          <w:p w:rsidR="00000000" w:rsidRDefault="00A323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396 </w:t>
            </w: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383 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1701 </w:t>
            </w:r>
          </w:p>
        </w:tc>
        <w:tc>
          <w:tcPr>
            <w:tcW w:w="14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23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1553 </w:t>
            </w:r>
          </w:p>
        </w:tc>
      </w:tr>
    </w:tbl>
    <w:p w:rsidR="00000000" w:rsidRDefault="00A323C5">
      <w:pPr>
        <w:jc w:val="both"/>
        <w:rPr>
          <w:rFonts w:ascii="Times New Roman" w:hAnsi="Times New Roman"/>
          <w:sz w:val="20"/>
        </w:rPr>
      </w:pPr>
    </w:p>
    <w:p w:rsidR="00000000" w:rsidRDefault="00A323C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период 1961-1977 гг. нормы расхода материалов на культурно-бытовое строительство так же, как и на жилищное строительство, неоднократно пересматривались и дополнялись.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3C5"/>
    <w:rsid w:val="00A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15372</Words>
  <Characters>87623</Characters>
  <Application>Microsoft Office Word</Application>
  <DocSecurity>0</DocSecurity>
  <Lines>730</Lines>
  <Paragraphs>205</Paragraphs>
  <ScaleCrop>false</ScaleCrop>
  <Company>Elcom Ltd</Company>
  <LinksUpToDate>false</LinksUpToDate>
  <CharactersWithSpaces>102790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256-77</dc:title>
  <dc:subject/>
  <dc:creator>CNTI</dc:creator>
  <cp:keywords/>
  <dc:description/>
  <cp:lastModifiedBy>Parhomeiai</cp:lastModifiedBy>
  <cp:revision>2</cp:revision>
  <dcterms:created xsi:type="dcterms:W3CDTF">2013-04-11T11:48:00Z</dcterms:created>
  <dcterms:modified xsi:type="dcterms:W3CDTF">2013-04-11T11:48:00Z</dcterms:modified>
</cp:coreProperties>
</file>