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E74FE9">
      <w:pPr>
        <w:jc w:val="right"/>
        <w:rPr>
          <w:rFonts w:ascii="Times New Roman" w:hAnsi="Times New Roman"/>
          <w:sz w:val="20"/>
        </w:rPr>
      </w:pPr>
      <w:bookmarkStart w:id="0" w:name="_GoBack"/>
      <w:bookmarkEnd w:id="0"/>
      <w:r>
        <w:rPr>
          <w:rFonts w:ascii="Times New Roman" w:hAnsi="Times New Roman"/>
          <w:sz w:val="20"/>
        </w:rPr>
        <w:t>РСН 68-87</w:t>
      </w: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РЕСПУБЛИКАНСКИЕ СТРОИТЕЛЬНЫЕ НОРМЫ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Проектирование объектов промышленного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 гражданского назначения Западно-Сибирского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нефтегазового комплекса </w:t>
      </w: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Дата введения 1987-07-01</w:t>
      </w:r>
    </w:p>
    <w:p w:rsidR="00000000" w:rsidRDefault="00E74FE9">
      <w:pPr>
        <w:jc w:val="right"/>
        <w:rPr>
          <w:rFonts w:ascii="Times New Roman" w:hAnsi="Times New Roman"/>
          <w:i/>
          <w:sz w:val="20"/>
          <w:lang w:val="en-US"/>
        </w:rPr>
      </w:pPr>
    </w:p>
    <w:p w:rsidR="00000000" w:rsidRDefault="00E74FE9">
      <w:pPr>
        <w:jc w:val="right"/>
        <w:rPr>
          <w:rFonts w:ascii="Times New Roman" w:hAnsi="Times New Roman"/>
          <w:i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РАЗРАБОТАНЫ Центральным научно-исследовательским и проектно-эксперимента</w:t>
      </w:r>
      <w:r>
        <w:rPr>
          <w:rFonts w:ascii="Times New Roman" w:hAnsi="Times New Roman"/>
          <w:sz w:val="20"/>
        </w:rPr>
        <w:t>льным институтом промышленных зданий и сооружений Госстроя СССР (руководитель темы - Ю.Г. Вострокнутов, ответственный исполнитель - А. Я. Пантиелев), Ленинградским научно-исследовательским и проектным институтом по разработке генеральных планов и проектов застройки городов (руководитель - Э.А. Миленина), Ленинградским зональным научно-исследовательским и проектным институтом типового и экспериментального проектирования жилых и общественных зданий (руководитель - Ю.Н. Лобанов).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 участием: Государственного </w:t>
      </w:r>
      <w:r>
        <w:rPr>
          <w:rFonts w:ascii="Times New Roman" w:hAnsi="Times New Roman"/>
          <w:sz w:val="20"/>
        </w:rPr>
        <w:t>ордена Трудового Красного Знамени научно-исследовательского института оснований и подземных сооружений имени Н.М. Герсеванова, Центрального ордена Трудового Красного Знамени научно-исследовательского и проектного института типового и экспериментального проектирования жилища, Государственного ордена Трудового Красного Знамени проектного института Промстройпроект, Всесоюзного проектного и научно-исследовательского института промышленного транспорта Промтрансниипроект, Государственного проектного института Тюм</w:t>
      </w:r>
      <w:r>
        <w:rPr>
          <w:rFonts w:ascii="Times New Roman" w:hAnsi="Times New Roman"/>
          <w:sz w:val="20"/>
        </w:rPr>
        <w:t xml:space="preserve">енский Промстройпроект, Проектного института № 2, Научно-исследовательского института строительной физики, Производственного научно-исследовательского института по инженерным изысканиям в строительстве, Зонального ордена Трудового Красного Знамени научно-исследовательского и проектного института типового и экспериментального проектирования жилых и общественных зданий СибЗНИИЭП, Государственного ордена Трудового Красного Знамени проектного института Союзводоканалпроект, Государственного проектного института </w:t>
      </w:r>
      <w:r>
        <w:rPr>
          <w:rFonts w:ascii="Times New Roman" w:hAnsi="Times New Roman"/>
          <w:sz w:val="20"/>
        </w:rPr>
        <w:t>Сантехпроект, Сибирского научно-исследовательского и проектного института газонефтепромыслового строительства, Государственного ордена Трудового Красного Знамени проектного и научно-исследовательского института промышленности синтетического каучука, Государственного ордена Трудового Красного Знамени научно-исследовательского и проектного института азотной промышленности и продуктов органического синтеза, научно-производственного объединения "Пластополимер"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ВНЕСЕНЫ  ЦНИИпромзданий Госстроя СССР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ПОДГОТОВЛЕН</w:t>
      </w:r>
      <w:r>
        <w:rPr>
          <w:rFonts w:ascii="Times New Roman" w:hAnsi="Times New Roman"/>
          <w:sz w:val="20"/>
        </w:rPr>
        <w:t>Ы к утверждению Управлением новой техники, технического нормирования и типового проектирования Госстроя РСФСР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УТВЕРЖДЕНЫ постановлением Государственного комитета РСФСР по делам строительства от 30.10.1987 г.  протокол № 285.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 Общие положения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1.1. Область применения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1.1.1. Настоящие строительные нормы распространяются на проектирование населенных пунктов, объектов промышленного и гражданского назначения на территории Западно-Сибирского нефтегазового комплекса.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 1. Нормы не распространяютс</w:t>
      </w:r>
      <w:r>
        <w:rPr>
          <w:rFonts w:ascii="Times New Roman" w:hAnsi="Times New Roman"/>
          <w:sz w:val="20"/>
        </w:rPr>
        <w:t>я на проектирование объектов добычи, хранения, транспортировки нефти и газа и других специальных видов строительства.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2. Территория Западно-Сибирского нефтегазового комплекса принята в границах, соответствующих утвержденной постановлением Совета Министров РСФСР схеме  расселения от 28 сентября 1985 года № 475.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В состав территории комплекса входят Ямало-Ненецкий, Ханты-Мансийский автономные округа Тюменской  области и территории Томской области, расположенные  севернее 58° северной широты.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1.1.2. Насто</w:t>
      </w:r>
      <w:r>
        <w:rPr>
          <w:rFonts w:ascii="Times New Roman" w:hAnsi="Times New Roman"/>
          <w:sz w:val="20"/>
        </w:rPr>
        <w:t>ящие нормы следует применять совместно с утвержденными общесоюзными нормативными документами по проектированию и строительству, как  уточнения, отражающие природно-климатические и местные условия территории Западно-Сибирского нефтегазового комплекса.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1.2. Природно-климатическое районирование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1.2.1. Территория Западно-Сибирского комплекса по природно-климатическим условиям  региона относится к Iг и Iд строительно-климатическим  подрайонам (в соответствии с картой климатического районирования территории СС</w:t>
      </w:r>
      <w:r>
        <w:rPr>
          <w:rFonts w:ascii="Times New Roman" w:hAnsi="Times New Roman"/>
          <w:sz w:val="20"/>
        </w:rPr>
        <w:t>СР для строительства по СНиП 2.01.01.82).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1.2.2. По природно-климатическим  условиям  территория Западно-Сибирского комплекса подразделяется на три зоны: Полярную, Приполярную  и зону Среднеобья.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Характеристика зон по природным, инженерно-геологическим и гидрогеологическим условиям дана в таблице 1.2.1, рис. 1.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Климатическая характеристика территории приведена в табл. 1.2.2.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Санитарно-гигиеническая характеристика территории приведена в таблице 1.2.3.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 1. Климатические параметры для ряда пун</w:t>
      </w:r>
      <w:r>
        <w:rPr>
          <w:rFonts w:ascii="Times New Roman" w:hAnsi="Times New Roman"/>
          <w:sz w:val="20"/>
        </w:rPr>
        <w:t>ктов на территории Западно-Сибирского комплекса в дополнение к СНиП 2.01.01-82, приведены в Приложении  1, табл. 1 ... 4.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Распределение климатических параметров на территории региона показано в Приложении  2, рис. 1 ... 9.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Дополнительные данные о температуре наружного воздуха, направлении  и скорости ветра, снежном покрове, снегопереносе, метелях, солнечной радиации приведены в Приложении 1, табл. 1 ... 14.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 xml:space="preserve">Схема природно-климатического зонирования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Западно-Сибирского нефтегазового комплекса</w:t>
      </w:r>
      <w:r>
        <w:rPr>
          <w:rFonts w:ascii="Times New Roman" w:hAnsi="Times New Roman"/>
          <w:sz w:val="20"/>
        </w:rPr>
        <w:t xml:space="preserve"> 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Рисунок I.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2345" w:dyaOrig="161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669.75pt" o:ole="">
            <v:imagedata r:id="rId4" o:title=""/>
          </v:shape>
          <o:OLEObject Type="Embed" ProgID="MSPhotoEd.3" ShapeID="_x0000_i1025" DrawAspect="Content" ObjectID="_1427218407" r:id="rId5"/>
        </w:object>
      </w:r>
    </w:p>
    <w:p w:rsidR="00000000" w:rsidRDefault="00E74FE9">
      <w:pPr>
        <w:jc w:val="right"/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1.2.1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Характеристика природных, инженерно-геологических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 гидрогеологических условий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455"/>
        <w:gridCol w:w="2089"/>
        <w:gridCol w:w="2693"/>
        <w:gridCol w:w="218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5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Зоны </w:t>
            </w:r>
          </w:p>
        </w:tc>
        <w:tc>
          <w:tcPr>
            <w:tcW w:w="69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Характеристика условий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Природно-ландшафтная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Инженерно-геологическая </w:t>
            </w:r>
          </w:p>
        </w:tc>
        <w:tc>
          <w:tcPr>
            <w:tcW w:w="2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Гидрогеологическая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5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21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5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Полярная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089" w:type="dxa"/>
            <w:tcBorders>
              <w:top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Зона тундры в Приенисейской и Приуральской частях - северная окраина редколесья. Большая часть зоны - прибрежно-морские равнины с плоским заболоченным и заозеренным, реже холмисто квалистым рельефом, достаточно расчлененным (местами врез от 30-</w:t>
            </w:r>
            <w:r>
              <w:rPr>
                <w:rFonts w:ascii="Times New Roman" w:hAnsi="Times New Roman"/>
                <w:sz w:val="20"/>
              </w:rPr>
              <w:t>40 м до 70-100 м).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плоских  террасах и в долинах рек широко распространены плоско-полигональные торфяники с мощностью торфа до 2,5 м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693" w:type="dxa"/>
            <w:tcBorders>
              <w:top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Сплошное распространение вечномерзлых  грунтов, мощностью до 500 м и более. Неглубокие (менее 5 м) талики встречаются в южной ее части, в зарослях высокого кустарника и редколесьях. Температура вечномерзлых грунтов изменяется от -10,0 ... 11,0° на севере, до 0,0 ... -5,0° С на юге. Типичны сильно льдистые вечномерзлые грунты и криопеги, залегающие на глубинах до 10</w:t>
            </w:r>
            <w:r>
              <w:rPr>
                <w:rFonts w:ascii="Times New Roman" w:hAnsi="Times New Roman"/>
                <w:sz w:val="20"/>
              </w:rPr>
              <w:t>0 м и более.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Глубина сезонного протаивания (СТС) составляет 0,2-0,4 м - в торфе; 0,6-1,5 м в суглинках, 0,8-2,0 м - в песке. Из криогенных процессов типичны - морозобойное растрескивание и термокарст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181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Пресные подземные воды сосредоточены в сезонно-талом слое и в подрусловых и подозерных таликах. Надмерзлотные воды СТС по всей территории вследствие малой водообильности, загрязненности и сезонного существования для водоснабжения непригодны. Под руслами крупных рек - гидрокарбонатные, гидрокабонатно-хлорид</w:t>
            </w:r>
            <w:r>
              <w:rPr>
                <w:rFonts w:ascii="Times New Roman" w:hAnsi="Times New Roman"/>
                <w:sz w:val="20"/>
              </w:rPr>
              <w:t>ные, кальциевые, натриевые воды. На арктическом побережье вскрываются напорные соленые воды с отрицательной температурой  (криопеги). Глубины залегания горизонтов этих вод от 5...15 м в долинах до 50...100 м на водоразделах, напор достигает 100 и более метров. Состав вод преимущественно хлоридный натриевый.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5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Приполярная </w:t>
            </w:r>
          </w:p>
        </w:tc>
        <w:tc>
          <w:tcPr>
            <w:tcW w:w="2089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Природная подзона редколесья, северная часть северо-таежной подзоны.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Ледниковая, водно-ледниковая и ледниковая-морская равнина с пологим или холмисто-увалистым рельефом.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Долины рек с пл</w:t>
            </w:r>
            <w:r>
              <w:rPr>
                <w:rFonts w:ascii="Times New Roman" w:hAnsi="Times New Roman"/>
                <w:sz w:val="20"/>
              </w:rPr>
              <w:t>оским заболоченным рельефом.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Широкая пойма р. Оби (до 50 км) сильно изрезана протоками.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Значительная часть зоны занята плоскими и крупно-бугристами торфяниками, мощность торфа нередко превышает 2 м.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693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Вечномерзлые грунты занимают около 50% площади и имеют двухслойное строение. Они типичны для безлесных торфяников, температуры грунтов изменяются от -0,3...-4,0°С. Мощность верхнего слоя до 100 м и более. На залесненных участках вечномерзлые грунты широко распространены (до 30%) на северной окраине зоны, в южн</w:t>
            </w:r>
            <w:r>
              <w:rPr>
                <w:rFonts w:ascii="Times New Roman" w:hAnsi="Times New Roman"/>
                <w:sz w:val="20"/>
              </w:rPr>
              <w:t>ой части ее в лесах они представлены  лишь отдельными островами, температура выше -1,0°С, а мощность их менее 50 м.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Мощность СТС изменяется от 0,3-0,5 м в торфе, до 2,0 м в песках. На севере зоны, в суглинках (1,0-1,8 м). Наиболее характерны СТС мощностью от 0,5 (торф на юге зоны) до 2,5 м в песках.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Характерная особенность зоны - широкое распространение бугров, пучения и разнообразных термокарстовых форм (озера, западины и пр.). Среди криогенных процессов большое место занимает новообразование мерзлых пород</w:t>
            </w:r>
            <w:r>
              <w:rPr>
                <w:rFonts w:ascii="Times New Roman" w:hAnsi="Times New Roman"/>
                <w:sz w:val="20"/>
              </w:rPr>
              <w:t xml:space="preserve"> на талых участках.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81" w:type="dxa"/>
            <w:tcBorders>
              <w:righ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Наиболее продуктивными, пригодными для эксплуатации являются выдержанные водоносные горизонты грунтового типа в талых опесчаненных отложениях.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Подземные воды залегают на глубинах от 15-25 м в долинах, до 50-100 м  - на водоразделах, под верхним слоем вечномерзлых пород. Воды обычно напорные, состав гидрокарбонатный, кальциевый, мощность водоносных горизонтов колеблется от 20 до 100 м.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Вдоль всех крупных рек в талых аллювиальных отложениях развиты водоносные горизонты, преимущественно б</w:t>
            </w:r>
            <w:r>
              <w:rPr>
                <w:rFonts w:ascii="Times New Roman" w:hAnsi="Times New Roman"/>
                <w:sz w:val="20"/>
              </w:rPr>
              <w:t>езнапорные мощностью до 20 м, воды гидрокарбонатные натриевые с минерализацией до 0,7 г/л.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5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Среднеобье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089" w:type="dxa"/>
            <w:tcBorders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Южная часть северотаежной и северная часть среднетаежной природных подзон.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Водно-ледниковая, ледниковая или озерно-аллювиальная равнина.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Рельеф плоский, с сильнозаболоченной и заозеренной поверхностью, в западной части зоны - сильно пересеченный, холмисто- и полого-увалистый, особенно в части,  примыкающей к Уралу.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Поверхность речных террас плоская заболоченная, за исключением восточной части, дренируем</w:t>
            </w:r>
            <w:r>
              <w:rPr>
                <w:rFonts w:ascii="Times New Roman" w:hAnsi="Times New Roman"/>
                <w:sz w:val="20"/>
              </w:rPr>
              <w:t>ой р. Енисей.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Распространены крупно-бугристые торфяники, мощность торфа до 6-7 м на юге.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693" w:type="dxa"/>
            <w:tcBorders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Вечномерзлые грунты занимают менее 10% площади. На севере зоны они характерны для безлесных торфяников, где площадь их составляет от 10 до 50%, а температура меняется от 0,0 до 2,0°С. Острова вечномерзлых грунтов с температурой, близкой к 0,0°, встречаются в сомкнутых темнохвойных лесах. Мощность вечномерзлых грунтов на безлесных торфяниках до 50 м, а в лесах - менее 20 м. Глубина сезонного промерзания грунтов изменяе</w:t>
            </w:r>
            <w:r>
              <w:rPr>
                <w:rFonts w:ascii="Times New Roman" w:hAnsi="Times New Roman"/>
                <w:sz w:val="20"/>
              </w:rPr>
              <w:t>тся от 0,4...0,8 м в торфе на болотах, до 2,0...2,5 м в песках, лишайниковых лесов, мощность СТС в зависимости от толщины мохового покрова или торфянистого горизонта изменяется от 0,3 до 1,3 м. Криогенные образования представлены невысокими (до 5 м) буграми пучения, термокарстовыми озерами, западинами, на севере зоны идет новообразование мерзлых пород на болотах и в зарастающих мхами лесах.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181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Наиболее обводненными являются аллювиальные отложения. Озерно-аллювиальные пески, олигоцеговые пески. Воды безнапор</w:t>
            </w:r>
            <w:r>
              <w:rPr>
                <w:rFonts w:ascii="Times New Roman" w:hAnsi="Times New Roman"/>
                <w:sz w:val="20"/>
              </w:rPr>
              <w:t xml:space="preserve">ные и напорные.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Глубины залегания в долинах 0...20,0 м, на водоразделах 20...70 м.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Мощности водоносных горизонтов и степень их обводнения не выдержаны по площади в связи с пестрым литологическим составом водовмещающих отложений. Воды преимущественно гидрокарбонатно-кальциевые с минерализацией до 0,8 г/л, с повышенным содержанием железа. Самые продуктивные горизонты - олигоценовые пески. </w:t>
            </w:r>
          </w:p>
        </w:tc>
      </w:tr>
    </w:tbl>
    <w:p w:rsidR="00000000" w:rsidRDefault="00E74FE9">
      <w:pPr>
        <w:jc w:val="right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1.2.2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Климатическая характеристика территории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710"/>
        <w:gridCol w:w="1710"/>
        <w:gridCol w:w="1542"/>
        <w:gridCol w:w="1611"/>
        <w:gridCol w:w="18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Климатический подрайон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Среднемесячная температура воздух</w:t>
            </w:r>
            <w:r>
              <w:rPr>
                <w:rFonts w:ascii="Times New Roman" w:hAnsi="Times New Roman"/>
                <w:sz w:val="20"/>
              </w:rPr>
              <w:t>а в январе, °С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Средняя скорость ветра за три зимних месяца, м/с 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Среднемесячная температура воздуха в июле, °С 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Среднемесячная относительная влажность воздуха в июле,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1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IГ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-22...-27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42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более 5 </w:t>
            </w:r>
          </w:p>
        </w:tc>
        <w:tc>
          <w:tcPr>
            <w:tcW w:w="1611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ниже 14 </w:t>
            </w:r>
          </w:p>
        </w:tc>
        <w:tc>
          <w:tcPr>
            <w:tcW w:w="184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более 75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IД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-19...-26 </w:t>
            </w:r>
          </w:p>
        </w:tc>
        <w:tc>
          <w:tcPr>
            <w:tcW w:w="1542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менее 5 </w:t>
            </w:r>
          </w:p>
        </w:tc>
        <w:tc>
          <w:tcPr>
            <w:tcW w:w="1611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выше 14 </w:t>
            </w:r>
          </w:p>
        </w:tc>
        <w:tc>
          <w:tcPr>
            <w:tcW w:w="184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менее 75 </w:t>
            </w:r>
          </w:p>
        </w:tc>
      </w:tr>
    </w:tbl>
    <w:p w:rsidR="00000000" w:rsidRDefault="00E74FE9">
      <w:pPr>
        <w:jc w:val="right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Продолжение табл. 1.2.2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30"/>
        <w:gridCol w:w="2130"/>
        <w:gridCol w:w="2130"/>
        <w:gridCol w:w="202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Температура воздуха, °С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Отопительный период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Наиболее холодной пятидневки обеспеченностью 0,92 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Наиболее холодных суток обеспеченностью 0,92 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Средняя температура, °С 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Продолжительность, су</w:t>
            </w:r>
            <w:r>
              <w:rPr>
                <w:rFonts w:ascii="Times New Roman" w:hAnsi="Times New Roman"/>
                <w:sz w:val="20"/>
              </w:rPr>
              <w:t>т.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-39...-47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-44...-50 </w:t>
            </w:r>
          </w:p>
        </w:tc>
        <w:tc>
          <w:tcPr>
            <w:tcW w:w="213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-8...-14 </w:t>
            </w:r>
          </w:p>
        </w:tc>
        <w:tc>
          <w:tcPr>
            <w:tcW w:w="2028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280-365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-39...-47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-44...-50 </w:t>
            </w:r>
          </w:p>
        </w:tc>
        <w:tc>
          <w:tcPr>
            <w:tcW w:w="213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-8...-14 </w:t>
            </w:r>
          </w:p>
        </w:tc>
        <w:tc>
          <w:tcPr>
            <w:tcW w:w="2028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250-280 </w:t>
            </w:r>
          </w:p>
        </w:tc>
      </w:tr>
    </w:tbl>
    <w:p w:rsidR="00000000" w:rsidRDefault="00E74FE9">
      <w:pPr>
        <w:jc w:val="right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jc w:val="right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jc w:val="right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jc w:val="right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jc w:val="right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jc w:val="right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jc w:val="right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jc w:val="right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jc w:val="right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Продолжение табл. 1.2.2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30"/>
        <w:gridCol w:w="2130"/>
        <w:gridCol w:w="2130"/>
        <w:gridCol w:w="213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Снегоперенос 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26" type="#_x0000_t75" style="width:9pt;height:17.25pt">
                  <v:imagedata r:id="rId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/м погонной длины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Число дней с метелью за зиму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средний 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максимальный 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среднее 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наибольшее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более 400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2100 </w:t>
            </w:r>
          </w:p>
        </w:tc>
        <w:tc>
          <w:tcPr>
            <w:tcW w:w="213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50-110 </w:t>
            </w:r>
          </w:p>
        </w:tc>
        <w:tc>
          <w:tcPr>
            <w:tcW w:w="213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90-160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менее 400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800 </w:t>
            </w:r>
          </w:p>
        </w:tc>
        <w:tc>
          <w:tcPr>
            <w:tcW w:w="213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30-50 </w:t>
            </w:r>
          </w:p>
        </w:tc>
        <w:tc>
          <w:tcPr>
            <w:tcW w:w="213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50-90 </w:t>
            </w:r>
          </w:p>
        </w:tc>
      </w:tr>
    </w:tbl>
    <w:p w:rsidR="00000000" w:rsidRDefault="00E74FE9">
      <w:pPr>
        <w:jc w:val="right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1.2.3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Санитарно-гигиеническая характеристика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территории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260"/>
        <w:gridCol w:w="42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Климатические подрайоны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IГ - экстремально суровый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IД - холодный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426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Климатические возд</w:t>
            </w:r>
            <w:r>
              <w:rPr>
                <w:rFonts w:ascii="Times New Roman" w:hAnsi="Times New Roman"/>
                <w:sz w:val="20"/>
              </w:rPr>
              <w:t>ействия на человека, технику и сооружения максимальны, при большой роли комплексного охлаждающего воздействия, ограничений во времени и по ресурсам.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Повторяемость холодной и суровой погоды 40-60%.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Ультрафиолетовый дефицит 5-7 месяцев. Биологически активная  солнечная радиация до 3 месяцев. Неблагоприятные условия рассеивания вредных примесей.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Комплексное охлаждающее  воздействие метеофакторов (при ведущей роли ветра) велико, но не максимально.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Повторяемость холодной и суровой погоды 30-40%. Ультрафиолет</w:t>
            </w:r>
            <w:r>
              <w:rPr>
                <w:rFonts w:ascii="Times New Roman" w:hAnsi="Times New Roman"/>
                <w:sz w:val="20"/>
              </w:rPr>
              <w:t xml:space="preserve">овый дефицит 3-5 месяцев. Биологически активная солнечная радиация 4-5 месяцев.  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Неблагоприятные условия рассеивания вредных примесей </w:t>
            </w:r>
          </w:p>
        </w:tc>
      </w:tr>
    </w:tbl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1.3. Выбор площадок для размещения объектов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1.3.1. Размещение новых  городов и поселков, а также перспективы развития существующих населенных пунктов следует определять исходя из анализа и оценки схемы размещения и комплексного развития производительных сил региона, существующей и прогнозируемой системы расселения, а также  природно-климатических характеристик террито</w:t>
      </w:r>
      <w:r>
        <w:rPr>
          <w:rFonts w:ascii="Times New Roman" w:hAnsi="Times New Roman"/>
          <w:sz w:val="20"/>
        </w:rPr>
        <w:t>рии.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Прогноз развития производственной и непроизводственной  инфраструктуры для базовых городов должен  предусматривать помимо профилирующей  для региона нефтяной и газовой промышленности  и сопутствующих им производств, заменяющую промышленность на этапах выработки месторождений нефти и газа.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1.3.2. Для вахтовых поселков следует выбирать участки вблизи возводимых или эксплуатируемых объектов, по возможности, наиболее благоприятные в санитарно-гигиеническом и инженерно-геологическом отношениях, требующие </w:t>
      </w:r>
      <w:r>
        <w:rPr>
          <w:rFonts w:ascii="Times New Roman" w:hAnsi="Times New Roman"/>
          <w:sz w:val="20"/>
        </w:rPr>
        <w:t>минимального объема инженерной подготовки, планировочных работ и мероприятий по сохранению естественного состояния природной среды.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1.3.3. Решения  по размещению  промышленных предприятий следует принимать на основе утвержденной градостроительной документации с учетом дальнейшей перспективы их развития.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Решения  по размещению предприятий должны согласовываться с территориальной проектной организацией, которая разрабатывает "Схему размещения промышленных  предприятий".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1.3.4. Основным принципом размещения</w:t>
      </w:r>
      <w:r>
        <w:rPr>
          <w:rFonts w:ascii="Times New Roman" w:hAnsi="Times New Roman"/>
          <w:sz w:val="20"/>
        </w:rPr>
        <w:t xml:space="preserve"> промышленных предприятий и объектов должно быть их максимальное приближение к селитебным районам с учетом противопожарных требований, санитарно-гигиенических и природно-климатических  условий, а  также транспортных условий доставки трудящихся к местам приложения труда, за исключением нефтегазодобывающих объектов.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1.3.5. При выборе площадок под строительство в зоне Среднеобья следует избегать участков с вечномерзлыми грунтами.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1.4. Инженерные изыскания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1.4.1. Инженерные изыскания на территории Западно-</w:t>
      </w:r>
      <w:r>
        <w:rPr>
          <w:rFonts w:ascii="Times New Roman" w:hAnsi="Times New Roman"/>
          <w:sz w:val="20"/>
        </w:rPr>
        <w:t>Сибирского  комплекса следует проводить в соответствии  с требованиями СНиП II-9-78 и РСН-31-83.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Инженерно-геологические изыскания в полярной и приполярной зонах следует проводить, как правило, в три стадии:  предварительная, проектная стадия и рабочие чертежи.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1.4.2. В результате инженерных изысканий  должен  быть дан прогноз изменения  температурного режима грунтов и глубин сезонного промерзания и оттаивания при нарушении  естественных условий,  дополненный прогнозом развития наиболее опасных для  конк</w:t>
      </w:r>
      <w:r>
        <w:rPr>
          <w:rFonts w:ascii="Times New Roman" w:hAnsi="Times New Roman"/>
          <w:sz w:val="20"/>
        </w:rPr>
        <w:t>ретного района строительства физико-геологических процессов, развитие которых не определяется температурой грунта (термоэрозия, заболачивание и  подтопление).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Материалы изысканий для проектирования оснований и фундаментов при  строительстве по принципу II должены включать в себя данные  лабораторных и полевых  определений  прочностных  и деформационных свойств оттаявших грунтов. Исследование  геологического разреза и  свойств грунтов должны проводиться до глубины не менее максимальной  расчетной глубины от</w:t>
      </w:r>
      <w:r>
        <w:rPr>
          <w:rFonts w:ascii="Times New Roman" w:hAnsi="Times New Roman"/>
          <w:sz w:val="20"/>
        </w:rPr>
        <w:t xml:space="preserve">таивания грунтов в основании  зданий и сооружений.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1.4.3. При изучении мерзлотных физико-геологических явлений необходимо проводить разделение подземных льдов на повторножильные и  пластовые.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1.4.4. В полярной зоне необходимо изучение криопегов: глубины залегания, температуры, общей минерализации и химического состава воды; макрольдистости за счет пластовых и повторно-жильных льдов.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1.4.5. Глубина скважин устанавливается в зависимости от глубины теплового взаимодействия проектируемого сооружения с грун</w:t>
      </w:r>
      <w:r>
        <w:rPr>
          <w:rFonts w:ascii="Times New Roman" w:hAnsi="Times New Roman"/>
          <w:sz w:val="20"/>
        </w:rPr>
        <w:t>тами оснований, независимо от глубины распространения годовых колебаний температуры в грунтах.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1.5. Инженерная подготовка территории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1.5.1. При строительстве во всех зонах в проекте оснований и фундаментов должны предусматриваться мероприятия по инженерной подготовке территории, выполнение которых должно обеспечить сохранение расчетного температурного режима грунтов в основании, а также сохранение природных условий окружающей среды.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1.5.2. Проект инженерной подготовки участка строительства должен быть у</w:t>
      </w:r>
      <w:r>
        <w:rPr>
          <w:rFonts w:ascii="Times New Roman" w:hAnsi="Times New Roman"/>
          <w:sz w:val="20"/>
        </w:rPr>
        <w:t>вязан и согласован с общим проектом инженерной подготовки застраиваемой территории и отвечать требованиям ВСН 33-82.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1.5.3. В районах 1-2 этажной застройки, в сельских населенных пунктах и на территории парков отвод дождевых вод следует осуществлять по открытым водостокам (лоткам, укрупненным канавам, кюветам).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1.5.4. При размещении объектов на заторфованных территориях должна быть выполнена выторфовка непосредственно под зданиями и сооружениями и в радиусе 50 м. Допускается радиус выторфовки сокращать в </w:t>
      </w:r>
      <w:r>
        <w:rPr>
          <w:rFonts w:ascii="Times New Roman" w:hAnsi="Times New Roman"/>
          <w:sz w:val="20"/>
        </w:rPr>
        <w:t xml:space="preserve">2 раза при условии засыпки остальной территории в радиусе 50 м до зданий и сооружений слоем грунта не менее 0,5 м.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1.5.5. Строительные площадки, расположенные на склонах, должны быть ограждены с нагорной стороны постоянной нагорной канавой с уклоном не менее 0,05.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1.5.6. Для  уменьшения неравномерности увлажнения и пучения грунтов земляные работы следует проводить с минимальным нарушением естественного сложения  грунтов и организацией водоотвода из канав и котлованов.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1.5.7. На участках с вечномерзлыми </w:t>
      </w:r>
      <w:r>
        <w:rPr>
          <w:rFonts w:ascii="Times New Roman" w:hAnsi="Times New Roman"/>
          <w:sz w:val="20"/>
        </w:rPr>
        <w:t>грунтами вертикальную планировку местности следует производить преимущественно  в подсыпках крупно-скелетным грунтом. Срезки грунта на участках, сложенных грунтами III-IV категории, как правило, не допускаются, т.к. они приводят к интенсивному развитию эрозионных процессов и термокарста.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1.5.8. Отсыпка может устраиваться сплошной на всем  застраиваемом участке или локальной под отдельные здания и сооружения. Подсыпка не должна образовывать замкнутого контура, из которого затруднен сток поверхностных вод. П</w:t>
      </w:r>
      <w:r>
        <w:rPr>
          <w:rFonts w:ascii="Times New Roman" w:hAnsi="Times New Roman"/>
          <w:sz w:val="20"/>
        </w:rPr>
        <w:t>ри выполнении отсыпки должны соблюдаться требования по минимальному нарушению естественного мохо-торфяного  покрова.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вертикальной планировке местности, решаемой в сплошной отсыпке, планировочные отметки поверхности должны назначаться с учетом их  понижения в процессе оттаивания и уплотнения грунта.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1.5.9. В связи с быстрым развитием эрозионных  процессов в вечномерзлых  грунтах устойчивость откосов и выемок следует проверять по допустимой крутизне склонов. Все откосы, выемки и срезки грунта в них долж</w:t>
      </w:r>
      <w:r>
        <w:rPr>
          <w:rFonts w:ascii="Times New Roman" w:hAnsi="Times New Roman"/>
          <w:sz w:val="20"/>
        </w:rPr>
        <w:t>ны быть тщательно закреплены, а траншеи  и котлованы своевременно засыпаны. Проезд транспорта в строительный период должен осуществляться по заранее отсыпанным подъездным путям, не препятствующим поверхностному стоку.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1.6. Основания и фундаменты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1.6.1. При проектировании и устройстве оснований и фундаментов  зданий и сооружений, возводимых в районах Засадной Сибири, необходимо руководствоваться указаниями глав СНиП II-18-76, СНиП 2.02.01-83, СНиП 3.02.01-83, СНиП 2.02.03-85 и другими нормативными докумен</w:t>
      </w:r>
      <w:r>
        <w:rPr>
          <w:rFonts w:ascii="Times New Roman" w:hAnsi="Times New Roman"/>
          <w:sz w:val="20"/>
        </w:rPr>
        <w:t xml:space="preserve">тами по строительству.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1.6.2. Проектирование и устройство оснований и фундаментов следует выполнять с учетом природно-климатического зонирования территории комплекса (см. рис. 1 и табл. 1.2.1).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строительстве во всех зонах необходимо учитывать наличие вечномерзлых грунтов, глубокое сезонное промерзание и пучение грунтов, а также  возможность образования перелетков, термокарста и проявления других криогенных процессов.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1.6.3. Следует применять индустриальные типы фундаментов, включая новые прогрессивн</w:t>
      </w:r>
      <w:r>
        <w:rPr>
          <w:rFonts w:ascii="Times New Roman" w:hAnsi="Times New Roman"/>
          <w:sz w:val="20"/>
        </w:rPr>
        <w:t>ые виды малозаглубленных и поверхностных плитных фундаментов, а также конструкции фундаментов из комбинированных свай в том числе дерево-металлических.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1.6.4. При устройстве нефтяных и газовых месторождений и строительстве опор трубопроводов допускается применять фундаменты из стальных труб в соответствии с табл. 50 главы СНиП II-23-81, а также из отбракованных труб. При соответствующем технико-экономическом обосновании допускается также применение электросварных и безшовных труб (ГОСТ 10705-80, ГОСТ 8731-</w:t>
      </w:r>
      <w:r>
        <w:rPr>
          <w:rFonts w:ascii="Times New Roman" w:hAnsi="Times New Roman"/>
          <w:sz w:val="20"/>
        </w:rPr>
        <w:t>74) из углеродистых марок стали 10; 20 и ВСТ 3сп, а для свай - колонн, подземная часть которых рассчитана на эксплуатацию при температурах ниже минус 50°С  и напряжениях более 0,5 от расчетного сопротивления свай, - труб из низколегированной стали марки 09Г2С по ГОСТ 19282-73.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Использование стальных труб для фундаментов производится с разрешения Госстроя СССР и должно быть обосновано технико-экономическим расчетом.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1.6.5. Расчеты и конструирование свайных фундаментов из стальных труб должны пр</w:t>
      </w:r>
      <w:r>
        <w:rPr>
          <w:rFonts w:ascii="Times New Roman" w:hAnsi="Times New Roman"/>
          <w:sz w:val="20"/>
        </w:rPr>
        <w:t>оизводиться согласно указаниям глав СНиП II-18-76 и 2.02.03-85.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Расчетные сопротивления мерзлых грунтов и грунтовых растворов сдвигу по поверхности смерзания, приведенные в Приложении 6 главы СниП II-18-76, для стальных свай должны применяться с понижающим коэффициентом 0,7.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Особенности проектирования в зоне Среднеобья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1.6.6. При проектировании и устройстве оснований и фундаментов в этой зоне следует руководствоваться СНиП 3.02.01-83 и п.п. 1.3.6 и 1.6.2 настоящих норм.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строительстве складских поме</w:t>
      </w:r>
      <w:r>
        <w:rPr>
          <w:rFonts w:ascii="Times New Roman" w:hAnsi="Times New Roman"/>
          <w:sz w:val="20"/>
        </w:rPr>
        <w:t>щений, ангаров и других неотапливаемых зданий и сооружений должны быть предусмотрены меры по предотвращению образования в основании здания перелетка мерзлого грунта или конструктивные мероприятия по приспособлению здания к неравномерному выпучиванию.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1.6.7. На участках с глубоким сезонным промерзанием, сложенных минеральными грунтами, следует применять свайные фундаменты и фундаменты на естественном основании. Последние в зависимости от глубины залегания могут устраиваться заглубленными (подошва фундамента</w:t>
      </w:r>
      <w:r>
        <w:rPr>
          <w:rFonts w:ascii="Times New Roman" w:hAnsi="Times New Roman"/>
          <w:sz w:val="20"/>
        </w:rPr>
        <w:t xml:space="preserve"> находится ниже глубины сезонного промерзания), малозаглубленными (подошва фундамента находится в промерзающем слое) и поверхностными (фундамент располагается на поверхности грунта или на подсыпке).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1.6.8. Заложение фундаментов ниже глубины сезонного промерзания грунтов следует применять на участках с глубиной промерзания не более 2,0 метров. При этом фундаменты должны проверяться расчетом по устойчивости и прочности на воздействие сил морозного пучения грунтов согласно Приложения 5 главы СНиП II-18-76.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Ф</w:t>
      </w:r>
      <w:r>
        <w:rPr>
          <w:rFonts w:ascii="Times New Roman" w:hAnsi="Times New Roman"/>
          <w:sz w:val="20"/>
        </w:rPr>
        <w:t>ундаменты допускается закладывать в слое сезонного промерзания, если это обосновано расчетами по деформациям и по устойчивости, в соответствии с требованиями "Изменений № 1" к СНиП 2.02.01-83 и "Рекомендаций по проектированию и расчету малозаглубленных фундаментов на пучинистых грунтах", М., НИИОСП, 1985.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1.6.9. При устройстве малозаглубленных и поверхностных фундаментов на пучинистых грунтах фундаменты должны укладываться на распределительную подушку из хорошо дренирующих грунтов (песчаных, гравелистых, к</w:t>
      </w:r>
      <w:r>
        <w:rPr>
          <w:rFonts w:ascii="Times New Roman" w:hAnsi="Times New Roman"/>
          <w:sz w:val="20"/>
        </w:rPr>
        <w:t>рупнообломочных и других).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Толщина подсыпки назначается расчетом исходя из предельно допустимых деформаций зданий (СНиП 2.02.03-83).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наличии в основании песчаных грунтов фундаменты допускается укладывать непосредственно на спланированную поверхность грунта после удаления дерново-растительного слоя.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Устройство малозаглубленных и поверхностных фундаментов следует производить в теплый период года. Укладка фундамента на промерзшие грунты допускается при отсутствии в мерзлом слое включений льда и других п</w:t>
      </w:r>
      <w:r>
        <w:rPr>
          <w:rFonts w:ascii="Times New Roman" w:hAnsi="Times New Roman"/>
          <w:sz w:val="20"/>
        </w:rPr>
        <w:t>ризнаков распученности, что устанавливается на основании специальных исследований.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1.6.10. При проектировании и устройстве оснований и фундаментов на заболоченных участках и заторфованных грунтах следует предусматривать устройство свайных фундаментов с опиранием их на нижележащие минеральные грунты.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Сваи должны прорезать толщу погребенных заторфованных грунтов, илов и других видов сильносжимаемых грунтов, находящихся в пределах сжимаемой толщи основания. При этом необходимо, чтобы нижние концы свай входил</w:t>
      </w:r>
      <w:r>
        <w:rPr>
          <w:rFonts w:ascii="Times New Roman" w:hAnsi="Times New Roman"/>
          <w:sz w:val="20"/>
        </w:rPr>
        <w:t>и в подстилающие грунты (крупнообломочные, гравелистые, песчаные крупные и средней крупности, пылеватые и глинистые), имеющие показатель консистенции I</w:t>
      </w:r>
      <w:r>
        <w:rPr>
          <w:rFonts w:ascii="Times New Roman" w:hAnsi="Times New Roman"/>
          <w:position w:val="-10"/>
          <w:sz w:val="20"/>
        </w:rPr>
        <w:pict>
          <v:shape id="_x0000_i1027" type="#_x0000_t75" style="width:18pt;height:15.75pt">
            <v:imagedata r:id="rId7" o:title=""/>
          </v:shape>
        </w:pict>
      </w:r>
      <w:r>
        <w:rPr>
          <w:rFonts w:ascii="Times New Roman" w:hAnsi="Times New Roman"/>
          <w:sz w:val="20"/>
        </w:rPr>
        <w:t xml:space="preserve"> 0,1 - на величину не менее 0,5 м. Для прочих видов нескальных грунтов, в том числе имеющих степень заторфованности I</w:t>
      </w:r>
      <w:r>
        <w:rPr>
          <w:rFonts w:ascii="Times New Roman" w:hAnsi="Times New Roman"/>
          <w:position w:val="-12"/>
          <w:sz w:val="20"/>
        </w:rPr>
        <w:pict>
          <v:shape id="_x0000_i1028" type="#_x0000_t75" style="width:19.5pt;height:18pt">
            <v:imagedata r:id="rId8" o:title=""/>
          </v:shape>
        </w:pict>
      </w:r>
      <w:r>
        <w:rPr>
          <w:rFonts w:ascii="Times New Roman" w:hAnsi="Times New Roman"/>
          <w:sz w:val="20"/>
        </w:rPr>
        <w:t>0,1 - не менее 2 м. Сваи, прорезающие толщу погребенного торфа, сильнозаторфованного грунта или ила, должны иметь поперечное армирование.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1.6.11. Сваи допускается устанавливать на подстилающие более плотные грунты, залегающие над слоем погре</w:t>
      </w:r>
      <w:r>
        <w:rPr>
          <w:rFonts w:ascii="Times New Roman" w:hAnsi="Times New Roman"/>
          <w:sz w:val="20"/>
        </w:rPr>
        <w:t>бенного заторфованного грунта или ила, если расстояние от нижнего конца свай до кровли сильносжимаемого грунта h &gt; 2 в (где в - ширина свайного фундамента на уровне нижних концов свай) и если расчетная величина осадок такого фундамента не превысит предельную.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большой мощности слоя слабых заторфованных грунтов фундаменты могут закладываться в пределах этого слоя с проведением мероприятий по улучшению грунтов основания.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1.6.12. При проектировании и устройстве фундаментов с опиранием их на заторфованные </w:t>
      </w:r>
      <w:r>
        <w:rPr>
          <w:rFonts w:ascii="Times New Roman" w:hAnsi="Times New Roman"/>
          <w:sz w:val="20"/>
        </w:rPr>
        <w:t>грунты следует производить расчет в соответствии с приложением 3, исходя из их прочностных и деформационных характеристик.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Расчеты оснований на заторфованных грунтах производить по первой и второй группам предельных состояний в соответствии с требованиями главы СНиП 2.02.01.83 и дополнительных требований настоящих норм. При этом следует выполнять оценку изменчивости прочностных и деформационных свойств грунтов по глубине основания и в плане. Если значения характеристик грунтов в основании проектируемого со</w:t>
      </w:r>
      <w:r>
        <w:rPr>
          <w:rFonts w:ascii="Times New Roman" w:hAnsi="Times New Roman"/>
          <w:sz w:val="20"/>
        </w:rPr>
        <w:t>оружения отличаются не более чем на 30%, основание считается однородным, если больше - неоднородным.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1.6.13. При устройстве фундаментов на насыпных и намывных грунтах необходимо учитывать неоднородность основания и наличие подстилающего слоя сжимаемого грунта с незавершенным процессом консолидации. Величина расчетного сопротивления R насыпных и намывных грунтов основания определяется в соответствии с требованиями главы СНиП 2.02.01-83 при значениях прочностных характеристик грунта на момент монтажа фундаме</w:t>
      </w:r>
      <w:r>
        <w:rPr>
          <w:rFonts w:ascii="Times New Roman" w:hAnsi="Times New Roman"/>
          <w:sz w:val="20"/>
        </w:rPr>
        <w:t>нтов. Расчет величины осадки основания производится в соответствии с приложением 3.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строительстве на намывных и насыпных грунтах, подстилаемых слабыми сжимаемыми грунтами, следует предусматривать строительный подъем на величину ожидаемых осадок основания с учетом их стабилизации во времени.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1.6.14. При строительстве на слабых заторфованных грунтах следует применять монолитные и сборно-монолитные фундаменты, выполняемые в виде сплошных плит или перекрестных лент. При значительных неравномерных осадках </w:t>
      </w:r>
      <w:r>
        <w:rPr>
          <w:rFonts w:ascii="Times New Roman" w:hAnsi="Times New Roman"/>
          <w:sz w:val="20"/>
        </w:rPr>
        <w:t xml:space="preserve">оснований фундаменты и стены здания следует усиливать непрерывными армированными поясами и применять жесткие конструктивные схемы зданий с разрезкой их на отсеки осадочными швами.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Применять отдельно стоящие столбчатые фундаменты или прерывистые ленточные фундаменты не следует.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1.6.15. При проектировании сетей водоснабжения, канализации, теплоснабжения и других коммуникаций следует предусматривать понижение отметок их заложения, а также устройство гибких вводов в здания.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Особенности проектирования в Прип</w:t>
      </w:r>
      <w:r>
        <w:rPr>
          <w:rFonts w:ascii="Times New Roman" w:hAnsi="Times New Roman"/>
          <w:sz w:val="20"/>
        </w:rPr>
        <w:t xml:space="preserve">олярной зоне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1.6.16. Проектирование и устройство фундаментов зданий и сооружений в этой зоне на участках  с вечномерзлыми грунтами производится согласно требованиям главы СНиП 2-18-76; на участках, где вечномерзлые грунты отсутствуют, следует руководствоваться указаниями главы СНиП 3.02-01-83 и положениями пп. 1.6.6...1.6.16 настоящих норм.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1.6.17. Строительство на вечномерзлых грунтах в этой зоне может осуществляться как по I-ому, так и по II-му принципу использования вечномерзлых грунтов в качестве осн</w:t>
      </w:r>
      <w:r>
        <w:rPr>
          <w:rFonts w:ascii="Times New Roman" w:hAnsi="Times New Roman"/>
          <w:sz w:val="20"/>
        </w:rPr>
        <w:t>ования.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Выбор принципа использования вечномерзлых грунтов в качестве оснований зависит от конкретных мерзлотно-грунтовых условий строительной площадки, характера теплового воздействия здания на мерзлые грунты основания и должен производиться на основании технико-экономического сравнения вариантов и прогнозных теплотехнических расчетов температурного режима грунтов.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выборе принципа использования вечномерзлых грунтов основания, а также средств, которыми обеспечивается сохранение предусмотренного в проек</w:t>
      </w:r>
      <w:r>
        <w:rPr>
          <w:rFonts w:ascii="Times New Roman" w:hAnsi="Times New Roman"/>
          <w:sz w:val="20"/>
        </w:rPr>
        <w:t>те состояния грунтов (мерзлого или оттаявшего) следует руководствоваться приложением 3.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Линейные сооружения (дороги, трубопроводы) допускается проектировать с применением на отдельных участках разных принципов использования вечномерзлых грунтов в качестве основания при условии принятия мер, обеспечивающих нормальную работу сооружения в местах перехода от участка с одним принципом использования вечномерзлых грунтов в качестве оснований к участку с другим принципом. Это достигается путем приспособления конст</w:t>
      </w:r>
      <w:r>
        <w:rPr>
          <w:rFonts w:ascii="Times New Roman" w:hAnsi="Times New Roman"/>
          <w:sz w:val="20"/>
        </w:rPr>
        <w:t>рукций сооружения к неравномерной деформации основания или путем соответствующей подготовки основания в местах перехода, устраняющей возможность превышения деформаций, допускаемых для данных сооружений.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1.6.18. При устройстве оснований и фундаментов, возводимых по принципу I, должны предусматриваться специальные мероприятия по предотвращению протаивания грунтов основания здания и обеспечению расчетных температур грунтов основания (устройство холодных подполий, прокладка в основании сооружений охлаждающих т</w:t>
      </w:r>
      <w:r>
        <w:rPr>
          <w:rFonts w:ascii="Times New Roman" w:hAnsi="Times New Roman"/>
          <w:sz w:val="20"/>
        </w:rPr>
        <w:t>руб или каналов и т.д.).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1.6.19. На площадках, где слой сезоннопромерзающего грунта не сливается с вечномерзлой толщей и ее верхняя граница находится на глубине не менее 10 метров, строительство жилых и общественных зданий допускается осуществлять, используя способ стабилизации поверхности вечномерзлых грунтов, достигаемой за счет обеспечения заданного теплового режима вентилируемого подполья. Теплотехнический  расчет вентилируемого подполья в этом случае надлежит производить по приложению - главы СНиП II-</w:t>
      </w:r>
      <w:r>
        <w:rPr>
          <w:rFonts w:ascii="Times New Roman" w:hAnsi="Times New Roman"/>
          <w:sz w:val="20"/>
        </w:rPr>
        <w:t>18-76, принимая значения t</w:t>
      </w:r>
      <w:r>
        <w:rPr>
          <w:rFonts w:ascii="Times New Roman" w:hAnsi="Times New Roman"/>
          <w:position w:val="-10"/>
          <w:sz w:val="20"/>
        </w:rPr>
        <w:pict>
          <v:shape id="_x0000_i1029" type="#_x0000_t75" style="width:9pt;height:20.25pt">
            <v:imagedata r:id="rId9" o:title=""/>
          </v:shape>
        </w:pict>
      </w:r>
      <w:r>
        <w:rPr>
          <w:rFonts w:ascii="Times New Roman" w:hAnsi="Times New Roman"/>
          <w:sz w:val="20"/>
        </w:rPr>
        <w:t xml:space="preserve">=0°С и </w:t>
      </w:r>
      <w:r>
        <w:rPr>
          <w:rFonts w:ascii="Times New Roman" w:hAnsi="Times New Roman"/>
          <w:position w:val="-4"/>
          <w:sz w:val="20"/>
        </w:rPr>
        <w:pict>
          <v:shape id="_x0000_i1030" type="#_x0000_t75" style="width:12pt;height:12.75pt">
            <v:imagedata r:id="rId10" o:title=""/>
          </v:shape>
        </w:pict>
      </w:r>
      <w:r>
        <w:rPr>
          <w:rFonts w:ascii="Times New Roman" w:hAnsi="Times New Roman"/>
          <w:sz w:val="20"/>
        </w:rPr>
        <w:t>t=2°С. При этом заложение фундаментов следует предусматривать в пределах постоянно талого слоя, а расчет основания фундамента производить в соответствии с требованиями главы СНиП 3.02.01-83.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1.6.20. При строительстве временных жилых поселков, мобильных сборно-разборных и других зданий с ограниченным сроком эксплуатации необходимо учитывать их тепловое влияние на температурный режим мерзлых грунтов в основании близ расположенных капитальных зданий и сооружений. Выбор участ</w:t>
      </w:r>
      <w:r>
        <w:rPr>
          <w:rFonts w:ascii="Times New Roman" w:hAnsi="Times New Roman"/>
          <w:sz w:val="20"/>
        </w:rPr>
        <w:t>ков под временное строительство должен производиться в соответствии с п. 1.3.2 настоящих норм.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1.6.21. При устройстве опор трубопроводов и других сооружений, воспринимающих горизонтальные нагрузки, расчет свай должен производиться на совместное воздействие вертикальных и горизонтальных сил в соответствии с приложением 3.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1.6.22. Основным видом фундаментов зданий и сооружений при строительстве с использованием вечномерзлых грунтов по принципу I являются свайные фундаменты.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пластичномерзлых грунтах сваи </w:t>
      </w:r>
      <w:r>
        <w:rPr>
          <w:rFonts w:ascii="Times New Roman" w:hAnsi="Times New Roman"/>
          <w:sz w:val="20"/>
        </w:rPr>
        <w:t>должны рассчитываться  по деформациям. Расчет свай по деформациям производится согласно "Рекомендациям по расчету осадок свай в пластичномерзлых грунтах" (М. НИИОСП, 1983 г.).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1.6.23. Для зданий и сооружений с большими нагрузками на фундаменты могут применяться фундаменты на естественном вечномерзлом основании (столбчатые, ленточные и др. виды фундаментов с развитой площадью опирания на грунт) с устройством вентилируемого подполья. Глубина заложения фундамента должна приниматься не менее расчетной глубины </w:t>
      </w:r>
      <w:r>
        <w:rPr>
          <w:rFonts w:ascii="Times New Roman" w:hAnsi="Times New Roman"/>
          <w:sz w:val="20"/>
        </w:rPr>
        <w:t>сезонного оттаивания грунта плюс 1 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1.6.24. Промышленные большеразмерные в плане здания с большими нагрузками на пол целесообразно устраивать на подсыпках с применением для сохранения мерзлого состояния грунтов оснований систем охлаждающих труб или каналов, укладываемых в тело подсыпки.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Высота подсыпки и основные параметры системы охлаждающих труб или каналов назначаются по теплотехническим расчетам согласно Руководству к главе СНиП II-18-76 (п. 3.13.7).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При охлаждении грунтов оснований сис</w:t>
      </w:r>
      <w:r>
        <w:rPr>
          <w:rFonts w:ascii="Times New Roman" w:hAnsi="Times New Roman"/>
          <w:sz w:val="20"/>
        </w:rPr>
        <w:t>темой каналов расчет каналов производится по эквивалентному диаметру труб d</w:t>
      </w:r>
      <w:r>
        <w:rPr>
          <w:rFonts w:ascii="Times New Roman" w:hAnsi="Times New Roman"/>
          <w:position w:val="-9"/>
          <w:sz w:val="20"/>
        </w:rPr>
        <w:pict>
          <v:shape id="_x0000_i1031" type="#_x0000_t75" style="width:7.5pt;height:18pt">
            <v:imagedata r:id="rId11" o:title=""/>
          </v:shape>
        </w:pict>
      </w:r>
      <w:r>
        <w:rPr>
          <w:rFonts w:ascii="Times New Roman" w:hAnsi="Times New Roman"/>
          <w:sz w:val="20"/>
        </w:rPr>
        <w:t xml:space="preserve"> по формуле: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</w:t>
      </w:r>
      <w:r>
        <w:rPr>
          <w:rFonts w:ascii="Times New Roman" w:hAnsi="Times New Roman"/>
          <w:position w:val="-10"/>
          <w:sz w:val="20"/>
        </w:rPr>
        <w:pict>
          <v:shape id="_x0000_i1032" type="#_x0000_t75" style="width:15.75pt;height:18pt">
            <v:imagedata r:id="rId12" o:title=""/>
          </v:shape>
        </w:pict>
      </w:r>
      <w:r>
        <w:rPr>
          <w:rFonts w:ascii="Times New Roman" w:hAnsi="Times New Roman"/>
          <w:sz w:val="20"/>
        </w:rPr>
        <w:t>1,15</w:t>
      </w:r>
      <w:r>
        <w:rPr>
          <w:rFonts w:ascii="Times New Roman" w:hAnsi="Times New Roman"/>
          <w:position w:val="-6"/>
          <w:sz w:val="20"/>
        </w:rPr>
        <w:pict>
          <v:shape id="_x0000_i1033" type="#_x0000_t75" style="width:20.25pt;height:17.25pt">
            <v:imagedata r:id="rId13" o:title=""/>
          </v:shape>
        </w:pict>
      </w:r>
      <w:r>
        <w:rPr>
          <w:rFonts w:ascii="Times New Roman" w:hAnsi="Times New Roman"/>
          <w:sz w:val="20"/>
        </w:rPr>
        <w:t xml:space="preserve">,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F - площадь поперечного сечения канала, м</w:t>
      </w:r>
      <w:r>
        <w:rPr>
          <w:rFonts w:ascii="Times New Roman" w:hAnsi="Times New Roman"/>
          <w:position w:val="-4"/>
          <w:sz w:val="20"/>
        </w:rPr>
        <w:pict>
          <v:shape id="_x0000_i1034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1.6.25. Фундаменты закладываются в пределах подсыпки или ниже ее с заглублением в вечномерзлые грунты основания до 1 м и могут быть столбчатыми, ленточными или плитными.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Подсыпки должны устраиваться из непучинистого грунта. Плотность грунтов подсыпки должна быть не менее 0,95 максимальной плотности данного грунта, получаемой путем опытного уплотнения грунтов</w:t>
      </w:r>
      <w:r>
        <w:rPr>
          <w:rFonts w:ascii="Times New Roman" w:hAnsi="Times New Roman"/>
          <w:sz w:val="20"/>
        </w:rPr>
        <w:t xml:space="preserve"> при их оптимальной влажности.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качестве охлаждающих труб могут использоваться асбоцементные трубы диаметром 0,3-0,5 м. Охлаждающие каналы устраиваются сечением не менее 0,5х0,5 м из сборных железобетонных элементов. Укладка труб каналов производится с уклоном не менее 0,05.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1.6.26. При строительстве промышленных зданий и сооружений из крупноблочных модульных элементов полной заводской готовности целесообразно применять поверхностные фундаменты в виде жестких плит с вентилируемыми каналами (пространствен</w:t>
      </w:r>
      <w:r>
        <w:rPr>
          <w:rFonts w:ascii="Times New Roman" w:hAnsi="Times New Roman"/>
          <w:sz w:val="20"/>
        </w:rPr>
        <w:t>ные вентилируемые фундаменты). Такие фундаменты укладываются на подсыпку, толщина которой устанавливается теплотехническим расчетом.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1.6.27. При использовании вечномерзлых грунтов в качестве оснований по принципу II строительство может осуществляться: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с допущением оттаивания грунтов оснований в процессе возведения и эксплуатации здания;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с проведением предварительного оттаивания грунтов основания и других мероприятий по их улучшению.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Возможность строительства с допущением оттаивания грунтов в процесс</w:t>
      </w:r>
      <w:r>
        <w:rPr>
          <w:rFonts w:ascii="Times New Roman" w:hAnsi="Times New Roman"/>
          <w:sz w:val="20"/>
        </w:rPr>
        <w:t>е эксплуатации здания должна быть обоснована расчетом. В качестве критериев применяемости этого способа могут служить: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наличие малопросадочных грунтов песчаного или крупнообломочного состава;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- средняя относительная осадка оттаивающего основания </w:t>
      </w:r>
      <w:r>
        <w:rPr>
          <w:rFonts w:ascii="Times New Roman" w:hAnsi="Times New Roman"/>
          <w:position w:val="-6"/>
          <w:sz w:val="20"/>
        </w:rPr>
        <w:pict>
          <v:shape id="_x0000_i1035" type="#_x0000_t75" style="width:20.25pt;height:14.25pt">
            <v:imagedata r:id="rId15" o:title=""/>
          </v:shape>
        </w:pict>
      </w:r>
      <w:r>
        <w:rPr>
          <w:rFonts w:ascii="Times New Roman" w:hAnsi="Times New Roman"/>
          <w:sz w:val="20"/>
        </w:rPr>
        <w:t>0,02 при разности осадок соседних фундаментов не более 0,25 от средней величины;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- отношение коэффициентов оттаивания и сжимаемости грунта А/а = 3.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1.6.28. При строительстве с допущением оттаивания грунтов в процессе эксплуатации здания должны предусматриват</w:t>
      </w:r>
      <w:r>
        <w:rPr>
          <w:rFonts w:ascii="Times New Roman" w:hAnsi="Times New Roman"/>
          <w:sz w:val="20"/>
        </w:rPr>
        <w:t xml:space="preserve">ься конструктивные мероприятия по приспособлению зданий и сооружений к восприятию повышенных деформаций, назначаемые по результатам расчета системы "сооружение-фундамент-основание". При этом расчетные прочностные и деформационные характеристики грунтов основания должны приниматься только по данным экспериментальных определений.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осадки оттаивающего основания и вызываемые ими деформации и усилия в несущих конструкциях здания превышают предельно-допустимые значения, необходимо предусматривать проведение</w:t>
      </w:r>
      <w:r>
        <w:rPr>
          <w:rFonts w:ascii="Times New Roman" w:hAnsi="Times New Roman"/>
          <w:sz w:val="20"/>
        </w:rPr>
        <w:t xml:space="preserve"> предварительного оттаивания грунтов основания или их замену на непросадочные для снятия недопустимой части осадок.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Глубина и размеры в плане области предварительного оттаивания грунтов устанавливаются согласно указаниям п. 3.23 и 4.26 главы СНиП II-18-76 и приложения 3 настоящих норм. Допускается проведение предварительного локального оттаивания грунтов под отдельные фундаменты или их группы, когда это подтверждено расчетом оснований. При расчетах локально оттаянных оснований можно руководствоваться "Реко</w:t>
      </w:r>
      <w:r>
        <w:rPr>
          <w:rFonts w:ascii="Times New Roman" w:hAnsi="Times New Roman"/>
          <w:sz w:val="20"/>
        </w:rPr>
        <w:t>мендациями по устройству и расчету оснований с применением локального оттаивания крупнообломочных грунтов" (НИИОСП, М., 1983 г.).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1.6.29. При строительстве с использованием вечномерзлых грунтов в качестве оснований по принципу II применяются различные виды фундаментов на естественных основаниях. При этом следует применять фундаменты с уменьшенной площадью опирания на грунт, в том числе прерывистые фундаменты, фундаменты с клиновидной подошвой и другие, обеспечивающие перераспределение реакций грунтов основ</w:t>
      </w:r>
      <w:r>
        <w:rPr>
          <w:rFonts w:ascii="Times New Roman" w:hAnsi="Times New Roman"/>
          <w:sz w:val="20"/>
        </w:rPr>
        <w:t>аний при их неравномерном оттаивании.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1.6.30. Применение свайных фундаментов при строительстве по принципу II целесообразно в качестве свай-стоек с опиранием на практически непросадочные при оттаивании грунты, а также при устройстве фундаментов на участках с неглубоким залеганием нижней  поверхности вечномерзлых грунтов с прорезкой сваями слоя мерзлого грунта и в случаях, предусмотренных п. 3.26 главы СНиП II-18-76.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1.6.31. Временные и сборно-разборные мобильные здания со сроком эксплуатации до 5 лет на у</w:t>
      </w:r>
      <w:r>
        <w:rPr>
          <w:rFonts w:ascii="Times New Roman" w:hAnsi="Times New Roman"/>
          <w:sz w:val="20"/>
        </w:rPr>
        <w:t>частках, где глубина залегания верхней поверхности вечномерзлых грунтов превышает 10 м, допускается возводить как на участках с немерзлыми грунтами с учетом указаний п.п. 1.6.8...1.6.10.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Особенности проектирования в Полярной зоне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1.6.32. При проектировании и устройстве оснований и фундаментов в этой зоне следует, как правило, предусматривать использование вечномерзлых грунтов в качестве оснований по принципу I.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1.6.33. При строительстве инвентарных зданий, пионерных и вахтовых поселков, опор трубопровод</w:t>
      </w:r>
      <w:r>
        <w:rPr>
          <w:rFonts w:ascii="Times New Roman" w:hAnsi="Times New Roman"/>
          <w:sz w:val="20"/>
        </w:rPr>
        <w:t>ов и объектов нефтегазовых обустройств, возводимых в районах, удаленных от баз стройиндустрии, следует применять инвентарные рамные вентилируемые фундаменты из стальных труб и комбинированные дерево-металлические сваи.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1.6.34. Под промышленные сооружения и здания из крупноблочных модульных элементов следует применять железобетонные незаглубленные вентилируемые фундаменты из типовых железобетонных плит, устраиваемые на подсыпках согласно указаниям п. 1.6.26.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1.6.35. Проектирование и строительство на участк</w:t>
      </w:r>
      <w:r>
        <w:rPr>
          <w:rFonts w:ascii="Times New Roman" w:hAnsi="Times New Roman"/>
          <w:sz w:val="20"/>
        </w:rPr>
        <w:t>ах с засоленными, сильнольдистыми и заторфованными грунтами должно проводиться с учетом особенностей строительства на таких грунтах в соответствии с дополнительными требованиями, изложенными в разделах 5, 6 и 7 главы СНиП II-18-76.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1.6.36. При строительстве на сильнольдистых грунтах с льдистостью Л</w:t>
      </w:r>
      <w:r>
        <w:rPr>
          <w:rFonts w:ascii="Times New Roman" w:hAnsi="Times New Roman"/>
          <w:position w:val="-10"/>
          <w:sz w:val="20"/>
        </w:rPr>
        <w:pict>
          <v:shape id="_x0000_i1036" type="#_x0000_t75" style="width:9pt;height:15.75pt">
            <v:imagedata r:id="rId16" o:title=""/>
          </v:shape>
        </w:pict>
      </w:r>
      <w:r>
        <w:rPr>
          <w:rFonts w:ascii="Times New Roman" w:hAnsi="Times New Roman"/>
          <w:sz w:val="20"/>
        </w:rPr>
        <w:t xml:space="preserve">&gt; 0,4 следует применять незаостренные сваи, погружаемые бурсоопускным способом. Между подошвой столбчатого фундамента и прослойкой льда должен быть слой грунта природного залегания или искусственно устраиваемая </w:t>
      </w:r>
      <w:r>
        <w:rPr>
          <w:rFonts w:ascii="Times New Roman" w:hAnsi="Times New Roman"/>
          <w:sz w:val="20"/>
        </w:rPr>
        <w:t xml:space="preserve">грунтовая подушка толщиной не менее четверти ширины подошвы фундамента.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1.6.37. Протаивание грунтов под зданиями, в основании которых залегают сильнольдистые грунты и подземные льды, не допускается. Для предотвращения протаивания грунтов в этих случаях на застраиваемых площадках необходимо предусматривать устройство теплоизоляционных подсыпок. Толщина подсыпки определяется расчетом из условия сохранения природного положения верхней границы вечномерзлых грунтов. Строительство с ограничением зоны оттаивания</w:t>
      </w:r>
      <w:r>
        <w:rPr>
          <w:rFonts w:ascii="Times New Roman" w:hAnsi="Times New Roman"/>
          <w:sz w:val="20"/>
        </w:rPr>
        <w:t xml:space="preserve"> в основании здания в не зависимости от температуры вечномерзлых грунтов основания и ширины здания не допускается.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1.6.38. При устройстве фундаментов на засоленных грунтах следует применять фундаменты на естественном основании, сваи с  уширинной пятой, сваи на утрамбованном основании из щебня и другие виды фундаментов, обеспечивающие восприятие нормальных нагрузок.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1.6.39. Для проектирования и строительства фундаментов в районах развития криопегов материалы изысканий должны содержать данные о характере и </w:t>
      </w:r>
      <w:r>
        <w:rPr>
          <w:rFonts w:ascii="Times New Roman" w:hAnsi="Times New Roman"/>
          <w:sz w:val="20"/>
        </w:rPr>
        <w:t>составе криопегов, условиях их залегания и распространения в плане и по глубине. При строительстве в этих районах следует по возможности избегать участки с криопегами и принимать меры по сохранению естественного состояния мерзлотно-грунтовых  условий.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строительстве на участках, сложенных криопегами, могут применяться фундаменты на естественном основании, фундаменты на подсыпках и свайные фундаменты.  Целесообразность применения тех или других видов фундаментов зависит от мерзлотно-грунтовых условий, ха</w:t>
      </w:r>
      <w:r>
        <w:rPr>
          <w:rFonts w:ascii="Times New Roman" w:hAnsi="Times New Roman"/>
          <w:sz w:val="20"/>
        </w:rPr>
        <w:t>рактера зданий и технико-экономических показателей.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устройстве фундаментов на естественном основании между подошвой фундамента и верхней поверхностью криопега должна быть прослойка природного мерзлого грунта или устраивается подушка из насыпного уплотненного грунта, толщина которой определяется расчетом оснований по деформациям, но не менее чем ширина подошвы фундамента.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неглубоком залегании криопегов небольшой мощности целесообразно производить замену засоленных грунтов криопега в основании здани</w:t>
      </w:r>
      <w:r>
        <w:rPr>
          <w:rFonts w:ascii="Times New Roman" w:hAnsi="Times New Roman"/>
          <w:sz w:val="20"/>
        </w:rPr>
        <w:t>я незасоленным глинистым грунтом. Воздействие фундаментов при этом допускается только после полного промерзания слоя замененного грунта.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1.6.40. В случае устройства свайных фундаментов проходка скважины под сваи должна вестись с обсадкой трубами и применением других мер, исключающих проникновение рассола в скважину и засоление грунтов основания. Скважины следует проходить диаметром на 10-15 см превышающим наибольшее поперечное сечение свай, и заполнять известково-песчаным раствором. Несущая способность сва</w:t>
      </w:r>
      <w:r>
        <w:rPr>
          <w:rFonts w:ascii="Times New Roman" w:hAnsi="Times New Roman"/>
          <w:sz w:val="20"/>
        </w:rPr>
        <w:t>и должна устанавливаться по данным их полевых испытаний.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1.6.41. Подвод инженерных коммуникаций (водопровод, теплофикация, канализация) к зданиям и сооружениям, возведенным на вечномерзлых грунтах, должен осуществляться по тому же принципу, по которому запроектировано строительство зданий.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по архитектурно-планировочным решениям поверхностная прокладка коммуникаций нецелесообразна, применяется их подземная канальная или бесканальная прокладка с уменьшенной глубиной заложения (в слое сезонного протаива</w:t>
      </w:r>
      <w:r>
        <w:rPr>
          <w:rFonts w:ascii="Times New Roman" w:hAnsi="Times New Roman"/>
          <w:sz w:val="20"/>
        </w:rPr>
        <w:t>ния грунта). Допустимая глубина прокладки и протаивания вечномерзлых грунтов под трубопроводами в этом случае должна устанавливаться на основании теплотехнических расчетов. При строительстве по принципу II на участках, где непросадочные при оттаивании грунты залегают неглубоко от поверхности, коммуникации могут прокладываться в траншеях, пройденных до непросадочного слоя. При глубоком залегании непросадочных грунтов следует производить предварительное оттаивание просадочного слоя либо применять свайные опор</w:t>
      </w:r>
      <w:r>
        <w:rPr>
          <w:rFonts w:ascii="Times New Roman" w:hAnsi="Times New Roman"/>
          <w:sz w:val="20"/>
        </w:rPr>
        <w:t>ы, заглубленные в непросадочные грунты.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засыпке траншей под коммуникации необходимо устраивать перемычки из мятой глины или суглинка с тщательным их уплотнением для предотвращения попадания воды к фундаментам здания и развития эрозионных процессов. При обнаружении выходов воды или переувлажнения грунтов в связи с повреждениями трубопроводов должны приниматься меры по их устранению.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устройстве линейных сооружений трубопроводов, дорог и т.д. должны предусматриваться мероприятия, обеспечивающие беспр</w:t>
      </w:r>
      <w:r>
        <w:rPr>
          <w:rFonts w:ascii="Times New Roman" w:hAnsi="Times New Roman"/>
          <w:sz w:val="20"/>
        </w:rPr>
        <w:t>епятственный поверхностный сток, исключающий размыв насыпей, траншей и выемок.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1.7. Противопожарная защита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Огнестойкость конструкций и противопожарные преграды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производственных зданий и сооружений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1.7.1. При проектировании производственных зданий должны соблюдаться противопожарные требования: СНиП 2.01.02-85, "Пособия по определению пределов огнестойкости конструкций, пределов распространения огня по конструкциям и групп возгораемости материалов", Пособия по проектированию эвакуационных путей и выходов.</w:t>
      </w:r>
      <w:r>
        <w:rPr>
          <w:rFonts w:ascii="Times New Roman" w:hAnsi="Times New Roman"/>
          <w:sz w:val="20"/>
        </w:rPr>
        <w:t xml:space="preserve">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1.7.2. В производственных зданиях, строящихся на вечномерзлых грунтах по I принципу в соответствии со СНиП II-18-76 и СНиП 2.09.02-85 с устройством холодного подполья, конструкции, расположенные между грунтом и нижним перекрытием первого этажа (колонны, перекрытия, ограждения подполья, лестничные марши и площадки), должны иметь огнестойкость и пределы распространения огня в соответствии с табл. 1 СНиП 2.01.02-85 для соответствующей степени огнестойкости.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1.7.3. В производственных зданиях, строящихся на </w:t>
      </w:r>
      <w:r>
        <w:rPr>
          <w:rFonts w:ascii="Times New Roman" w:hAnsi="Times New Roman"/>
          <w:sz w:val="20"/>
        </w:rPr>
        <w:t>вечномерзлых грунтах по I принципу, противопожарные стены, имеющие собственные основания или расположенные на конструкциях каркаса здания, должны перерезать нижние перекрытия   первого этажа до грунта.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1.7.4. В производственных зданиях, строящихся на вечномерзлых грунтах по I принципу, нижние перекрытия первого этажа, а также другие строительные конструкции в противопожарных зонах, используемых вместо противопожарных стен, должны выполняться из несгораемых материалов (включая теплоизоляцию) и иметь огнесто</w:t>
      </w:r>
      <w:r>
        <w:rPr>
          <w:rFonts w:ascii="Times New Roman" w:hAnsi="Times New Roman"/>
          <w:sz w:val="20"/>
        </w:rPr>
        <w:t>йкость не менее 0,75 ч.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Огнестойкость конструкций и противопожарные преграды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жилых и общественных зданий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1.7.5. Пределы огнестойкости и распространения огня нижних перекрытий первого этажа должны приниматься как для подвального перекрытия первого этажа. Конструкции для них (включая теплоизоляцию) следует применять из негорючих материалов.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1.7.6. При определении этажности зданий в число подземных этажей следует включать холодное (вентилируемое) подполье высотой 2 м и более.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1.7.7. Запрещается размещение</w:t>
      </w:r>
      <w:r>
        <w:rPr>
          <w:rFonts w:ascii="Times New Roman" w:hAnsi="Times New Roman"/>
          <w:sz w:val="20"/>
        </w:rPr>
        <w:t xml:space="preserve"> кладовых в подвальном и цокольном этажах жилых и общественных зданий.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1.7.8. Конструкции переходов и галерей должны быть из несгораемых материалов, с пределами огнестойкости не ниже, чем для основных зданий. Переходы следует отделять от зданий противопожарными перегородками I типа с противопожарными дверями.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1.7.9. Бани (сауны) следует размещать в обособленных зданиях или в одноэтажных пристройках к зданиям (кроме детских, лечебных и учебных учреждений), отделенных от них противопожарной стеной II типа. </w:t>
      </w:r>
      <w:r>
        <w:rPr>
          <w:rFonts w:ascii="Times New Roman" w:hAnsi="Times New Roman"/>
          <w:sz w:val="20"/>
        </w:rPr>
        <w:t>Парная должна иметь окно в наружной стене. Выход из бани следует предусматривать непосредственно наружу.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Противопожарное водоснабжение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1.7.10. Противопожарный водопровод должен предусматриваться в виде кольцевой циркуляционной системы  с постоянной циркуляцией в ней воды, при соответствующем обосновании подогретой до необходимой температуры. Устройство тупиковой сети противопожарного водопровода не допускается.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1.7.11. Противопожарный водопровод должен быть высокого давления и объединен с хозяйственно-п</w:t>
      </w:r>
      <w:r>
        <w:rPr>
          <w:rFonts w:ascii="Times New Roman" w:hAnsi="Times New Roman"/>
          <w:sz w:val="20"/>
        </w:rPr>
        <w:t xml:space="preserve">итьевым или производственным.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1.7.12. Допускается противопожарный водопровод прокладывать совместно с теплосетями.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1.7.13. Для водоводов и сетей следует применять стальные трубы из марок сталей, допустимых для применения в районах с температурой наружного воздуха - 40°С и ниже.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1.7.14. Пожарные гидранты на противопожарном водопроводе должны предусматриваться норильского типа и устраиваться на магистральных участках на расстоянии не более 100 м друг от друга.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1.7.15. Длина ремонтного участка водопроводн</w:t>
      </w:r>
      <w:r>
        <w:rPr>
          <w:rFonts w:ascii="Times New Roman" w:hAnsi="Times New Roman"/>
          <w:sz w:val="20"/>
        </w:rPr>
        <w:t>ой сети должна быть такой, чтобы при аварии отключалось не более 5 пожарных гидрантов и обеспечивалось опорожнение участка за время, определяемое теплотехническим расчетом, но не более чем за 5 часов. При этом следует обеспечивать циркуляцию воды в оставшейся части водопровода или предусматривать другие мероприятия по предотвращению ее замерзания.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1.7.16. Схема технологического оборудования насосных станций должна обеспечивать подачу подогретой воды во всасывающие линии пожарных насосов. При этом количеств</w:t>
      </w:r>
      <w:r>
        <w:rPr>
          <w:rFonts w:ascii="Times New Roman" w:hAnsi="Times New Roman"/>
          <w:sz w:val="20"/>
        </w:rPr>
        <w:t>о всасывающих линий должно быть не менее двух.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1.7.17. На насосной станции должна быть установлена группа пожарных насосов, обеспечивающих при пожаре подачу полного расчетного расхода воды на хозяйственно-питьевые, производственные по аварийному графику и пожарные нужды и создающих свободный напор в диктующей точке водопроводной сети, равной Н</w:t>
      </w:r>
      <w:r>
        <w:rPr>
          <w:rFonts w:ascii="Times New Roman" w:hAnsi="Times New Roman"/>
          <w:position w:val="-10"/>
          <w:sz w:val="20"/>
        </w:rPr>
        <w:pict>
          <v:shape id="_x0000_i1037" type="#_x0000_t75" style="width:12pt;height:15.75pt">
            <v:imagedata r:id="rId17" o:title=""/>
          </v:shape>
        </w:pict>
      </w:r>
      <w:r>
        <w:rPr>
          <w:rFonts w:ascii="Times New Roman" w:hAnsi="Times New Roman"/>
          <w:sz w:val="20"/>
        </w:rPr>
        <w:t>= 28+Т м, где Т - отметка наивысшей точки самого высокого здания, м. При работе пожарных насосов во избежание увеличения напора в сети выше допустимого для хозяйстве</w:t>
      </w:r>
      <w:r>
        <w:rPr>
          <w:rFonts w:ascii="Times New Roman" w:hAnsi="Times New Roman"/>
          <w:sz w:val="20"/>
        </w:rPr>
        <w:t>нно-питьевых приборов, равного 90 м, на вводах в здание следует предусматривать установку регуляторов давления.</w:t>
      </w:r>
    </w:p>
    <w:p w:rsidR="00000000" w:rsidRDefault="00E74FE9">
      <w:pPr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1.7.18. Магистральные линии противопожарного водопровода должны располагаться не далее 2,5 м от края проезжей части дороги  с предусмотрением мероприятий по защите пожарных гидрантов от заноса снегом путем устройства будок и установкой указателей,  обеспечивающих их обнаружение. В местах установки гидрантов проезжую часть  дорог следует выполнять шириной, обеспечивающей  возможность проезда техни</w:t>
      </w:r>
      <w:r>
        <w:rPr>
          <w:rFonts w:ascii="Times New Roman" w:hAnsi="Times New Roman"/>
          <w:sz w:val="20"/>
        </w:rPr>
        <w:t xml:space="preserve">ки по дороге при установке  пожарных автомобилей и гидрантов.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1.7.19. Для хранения противопожарных запасов воды предусматривать надземные металлические резервуары с утеплением теплоизолирующими материалами и подогревом воды, обеспечивающим ее   температуру не ниже + 5°С.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1.7.20. Резервуары с пожарным запасом воды следует оборудовать дополнительно устройствами для непосредственного забора автонасосами на случай аварийного состояния сети.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1.7.21. При отсутствии хозяйственно-противопожарного водопровода (п</w:t>
      </w:r>
      <w:r>
        <w:rPr>
          <w:rFonts w:ascii="Times New Roman" w:hAnsi="Times New Roman"/>
          <w:sz w:val="20"/>
        </w:rPr>
        <w:t>оселки мобильного типа) следует устраивать утепленные насосные станции с размещением в них резервуаров емкостью 50 м</w:t>
      </w:r>
      <w:r>
        <w:rPr>
          <w:rFonts w:ascii="Times New Roman" w:hAnsi="Times New Roman"/>
          <w:position w:val="-4"/>
          <w:sz w:val="20"/>
        </w:rPr>
        <w:pict>
          <v:shape id="_x0000_i1038" type="#_x0000_t75" style="width:9pt;height:17.25pt">
            <v:imagedata r:id="rId6" o:title=""/>
          </v:shape>
        </w:pict>
      </w:r>
      <w:r>
        <w:rPr>
          <w:rFonts w:ascii="Times New Roman" w:hAnsi="Times New Roman"/>
          <w:sz w:val="20"/>
        </w:rPr>
        <w:t>. В качестве второго насоса в насосной станции необходимо устанавливать мотопомпу типа МП-1600. Радиус обслуживания водоема принимать не более 200 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1.7.22. Расчетный расход воды на наружное пожаротушение  в поселках со зданиями  III-V степени огнестойкости следует принимать не менее 20 л/с.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1.7.23. В административно-бытовых и общественных зданиях объемом  1000 м</w:t>
      </w:r>
      <w:r>
        <w:rPr>
          <w:rFonts w:ascii="Times New Roman" w:hAnsi="Times New Roman"/>
          <w:position w:val="-4"/>
          <w:sz w:val="20"/>
        </w:rPr>
        <w:pict>
          <v:shape id="_x0000_i1039" type="#_x0000_t75" style="width:9pt;height:17.25pt">
            <v:imagedata r:id="rId6" o:title=""/>
          </v:shape>
        </w:pict>
      </w:r>
      <w:r>
        <w:rPr>
          <w:rFonts w:ascii="Times New Roman" w:hAnsi="Times New Roman"/>
          <w:sz w:val="20"/>
        </w:rPr>
        <w:t xml:space="preserve"> и более, а также  в жилых</w:t>
      </w:r>
      <w:r>
        <w:rPr>
          <w:rFonts w:ascii="Times New Roman" w:hAnsi="Times New Roman"/>
          <w:sz w:val="20"/>
        </w:rPr>
        <w:t xml:space="preserve"> зданиях высотой 3 этажа и более, оборудованных хозяйственно-питьевым водопроводом, следует предусматривать установку внутренних пожарных кранов, обеспечивающих орошение каждой точки помещения одной струей с расходом 2,5 л/с, а при наличии пожарных стволов, рукавов и другого оборудования диаметром 38 мм - 1,5 л/с.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1.8. Природоохранные мероприятия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1.8.1. При проектировании объектов следует предусматривать рациональное использование природных ресурсов, максимальное сохранение и восстановление природных лан</w:t>
      </w:r>
      <w:r>
        <w:rPr>
          <w:rFonts w:ascii="Times New Roman" w:hAnsi="Times New Roman"/>
          <w:sz w:val="20"/>
        </w:rPr>
        <w:t>дшафтных комплексов.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Сравнение и выбор вариантов проектных решений следует проводить с учетом экономического ущерба от загрязнения окружающей среды и нарушения природных комплексов согласно "Временной типовой методике определения природоохранных мероприятий и оценки экономического ущерба, причиняемого народному хозяйству загрязнением окружающей среды", М. 1983.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проекты планировки и застройки населенных пунктов, промышленных объектов, а также отдельных зданий и сооружений должны быть включены мероприятия</w:t>
      </w:r>
      <w:r>
        <w:rPr>
          <w:rFonts w:ascii="Times New Roman" w:hAnsi="Times New Roman"/>
          <w:sz w:val="20"/>
        </w:rPr>
        <w:t xml:space="preserve"> по охране окружающей природной среды, регламентированные соответствующими главами СНиП, правилами организации строительного производства и требованиями настоящей главы.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1.8.2. Содержание природоохранных мероприятий должно разрабатываться по данным материалов комплексных инженерно-геологических изысканий с учетом перспективного развития объектов проектирования.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состав исходных данных для проекта природоохранных мероприятий должны входить: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материалы комплексных исследований природных условий (природнокл</w:t>
      </w:r>
      <w:r>
        <w:rPr>
          <w:rFonts w:ascii="Times New Roman" w:hAnsi="Times New Roman"/>
          <w:sz w:val="20"/>
        </w:rPr>
        <w:t>иматических, инженерно-геологических, геокреологических, гидрогеологических) осваиваемой территории;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инженерно-геологическая оценка чувствительности осваиваемой территории к воздействию на нее производственной деятельности человека;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прогноз изменений инженерно-геологических, геокриологических, гидрологических и экологических условий осваиваемой территории;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схемы охраны природы, схемы и проекты районной планировки, схемы промузлов и генпланы городов.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1.8.3. В составе природоохранных мероприятий должны пр</w:t>
      </w:r>
      <w:r>
        <w:rPr>
          <w:rFonts w:ascii="Times New Roman" w:hAnsi="Times New Roman"/>
          <w:sz w:val="20"/>
        </w:rPr>
        <w:t>едусматриваться мероприятия по: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охране и рациональному использованию природных ресурсов;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защите атмосферы, водных объектов и почв от загрязнения.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1.8.4. Мероприятия по охране и рациональному использованию природных ресурсов включают: обеспечение  природного или расчетного температурного режима грунтов на участках с сильнольдистыми грунтами и подземными льдами; предотвращение развития эрозионных процессов, термокарста, солифлюкаций и других мерзлотных явлений; рекультивацию участков тундры и лесотундры, н</w:t>
      </w:r>
      <w:r>
        <w:rPr>
          <w:rFonts w:ascii="Times New Roman" w:hAnsi="Times New Roman"/>
          <w:sz w:val="20"/>
        </w:rPr>
        <w:t xml:space="preserve">арушенных  в процессе различных видов строительства, в том числе в процессе эксплуатации вахтовых поселков; создание на лесопригодных землях искусственных лесных насаждений, предназначенных для выполнения санитарно-гигиенических и оздоровительных функций, создания ветрозащитных берегоукрепительных лесных полос, озеленения склонов холмов, оврагов и балок; создание охранных зон для особо ценных ландшафтов, мест обитания, гнездовий, массового размножения и  путей миграции ценных видов животных, рыб и птиц, не </w:t>
      </w:r>
      <w:r>
        <w:rPr>
          <w:rFonts w:ascii="Times New Roman" w:hAnsi="Times New Roman"/>
          <w:sz w:val="20"/>
        </w:rPr>
        <w:t>допуская их застройки или другого функционального использования;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мероприятия по охране мест нерестилищ, массового нагула и зимовки ценных видов рыб следует принимать в соответствии с требованиями ГОСТ 17.1.2.04-77;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обеспечение противопожарной безопасности прилегающих лесных  массивов, тундрового покрова и осушенных заторфованных и заболоченных участков территории.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Природоохранные мероприятия должны разрабатываться с учетом  рекомендаций территориальных комплексных схем охраны природы.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1.8.5. В проектах </w:t>
      </w:r>
      <w:r>
        <w:rPr>
          <w:rFonts w:ascii="Times New Roman" w:hAnsi="Times New Roman"/>
          <w:sz w:val="20"/>
        </w:rPr>
        <w:t>следует предусматривать использование ценных природных ландшафтов и их охрану: выделение ландшафтно-рекреационных территорий, ограничение рекреационных нагрузок на ландшафт в соответствии с его устойчивостью, соблюдение режимных требований особо охраняемых территорий-заповедников и заказников, памятников природы - водных, лесных, геологических. В проектируемых зонах отдыха, расположенных на берегах водоемов и водотоков, водоохранные мероприятия должны отвечать требованиям ГОСТ 17.1.5.02-80.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Следует максима</w:t>
      </w:r>
      <w:r>
        <w:rPr>
          <w:rFonts w:ascii="Times New Roman" w:hAnsi="Times New Roman"/>
          <w:sz w:val="20"/>
        </w:rPr>
        <w:t>льно сохранять леса, существующую растительность, в том числе и тундровый покров, ценные лекарственные растения в зеленой зоне и на территории застройки (промышленной и селитебной) и санитарно-защитных зон. Размеры охранных зон особо ценных ландшафтов, создаваемых за счет окружающих их территорий, следует принимать размером не менее 500 м в зависимости от конкретных условий. На территориях природоохранных зон разработка полезных  ископаемых не допускается.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1.8.6. Мероприятия по защите атмосферного воздуха </w:t>
      </w:r>
      <w:r>
        <w:rPr>
          <w:rFonts w:ascii="Times New Roman" w:hAnsi="Times New Roman"/>
          <w:sz w:val="20"/>
        </w:rPr>
        <w:t>от загрязнений  следует разрабатывать с учетом всего комплекса выбросов:  технологических и вентиляционных, организованных и неорганизованных, высоких и низких, точечных и линейных, нагретых и холодных, стабильных и периодического действия ("залповых"), а также фона загрязнения, создаваемого соседними предприятиями,  выбросами районных котельных и ТЭЦ, автотранспортом и пр., при этом следует принимать во внимание перспективу развития предприятия или примышленного узла, наращивания их мощности.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Мероприятия </w:t>
      </w:r>
      <w:r>
        <w:rPr>
          <w:rFonts w:ascii="Times New Roman" w:hAnsi="Times New Roman"/>
          <w:sz w:val="20"/>
        </w:rPr>
        <w:t xml:space="preserve">по защите атмосферного воздуха от загрязнения включают комплекс технологических, технических и градостроительных мероприятий по снижению вредных выбросов промышленных, энергетических и сельскохозяйственных предприятий, транспорта и других объектов до установленных Минздравом СССР норм предельно  допустимых концентраций (ПДК) загрязняющих  веществ в атмосфере.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 загрязнения атмосферного воздуха и определение необходимых  размеров санитарно-защитных зон осуществлять  в соответствии с ОНД-86, а мероприя</w:t>
      </w:r>
      <w:r>
        <w:rPr>
          <w:rFonts w:ascii="Times New Roman" w:hAnsi="Times New Roman"/>
          <w:sz w:val="20"/>
        </w:rPr>
        <w:t xml:space="preserve">тия по благоустройству территории санитарно-защитных  зон - в соответствии с требованиями раздела 3 СНиП 2.07.01-86 и главы 2.7 настоящих норм.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случае недостаточности комплекса  мероприятий по защите атмосферного воздуха следует предусматривать изменение  технологии производства или  вывод отдельных предприятий за пределы селитебной территории.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Ориентировочные размеры санитарно-защитных разрывов от характерных промышленных объектов приведены в приложении 4.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1.8.7. Мероприятия  по защите водоемов, водо</w:t>
      </w:r>
      <w:r>
        <w:rPr>
          <w:rFonts w:ascii="Times New Roman" w:hAnsi="Times New Roman"/>
          <w:sz w:val="20"/>
        </w:rPr>
        <w:t>токов и морских акваторий необходимо предусматривать в соответствии с требованиями водного законодательства и санитарных  норм, утвержденных Минздравом СССР, Минводхозом СССР и Минрыбхозом CCСР, обеспечивая предупреждение загрязнения поверхностных и подземных вод с соблюдением норм предельно допустимых концентраций (ПДК) загрязняющих веществ в водных  объектах, используемых для хозяйственно-питьевого водоснабжения, рекреационного обслуживания населения и в рыбохозяйственных  целях.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1.8.8. Селитебные террит</w:t>
      </w:r>
      <w:r>
        <w:rPr>
          <w:rFonts w:ascii="Times New Roman" w:hAnsi="Times New Roman"/>
          <w:sz w:val="20"/>
        </w:rPr>
        <w:t>ории и места отдыха следует размещать выше по течению  водотоков и водоемов  относительно выпусков производственных и хозяйственно-бытовых сточных вод. Размещение их ниже  выпусков должно производиться только с соблюдением правил  охраны поверхностных вод от загрязнения сточными водами  и правил  санитарной охраны прибрежных вод морей, утвержденных Минводхозом СССР, Минздравом СССР и Минрыбхозом СССР, а также СНиП 2.04-03-85.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1.8.9. При проектировании населенных пунктов необходимо предусматривать с учетом </w:t>
      </w:r>
      <w:r>
        <w:rPr>
          <w:rFonts w:ascii="Times New Roman" w:hAnsi="Times New Roman"/>
          <w:sz w:val="20"/>
        </w:rPr>
        <w:t>Положения  о водоохранных  и прибрежных  полосах малых рек страны организацию по берегам водохранилищ и малых рек водоохранных зон (полос) шириной от берега не менее, м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водохранилищ .................................................................................... 500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малых рек: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длиной до 50 км .........................................................................................100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50...100 км .................................................................................................</w:t>
      </w:r>
      <w:r>
        <w:rPr>
          <w:rFonts w:ascii="Times New Roman" w:hAnsi="Times New Roman"/>
          <w:sz w:val="20"/>
        </w:rPr>
        <w:t>.200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100...200 км ................................................................................................300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 северу потенциал самоочищения воды уменьшается и ширина прибрежной  водоохранной полосы (ПВП) принимается с поправочным коэффициентом: зона среднеобья - 1,2; приполярная зона - 1,5; полярная зона - 1,8.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водоохранных зонах (полосах) запрещается размещение полигонов для твердых бытовых отходов и неутилизируемых промышленных отходов; складов нефтепродуктов, складов для хранения ядохимика</w:t>
      </w:r>
      <w:r>
        <w:rPr>
          <w:rFonts w:ascii="Times New Roman" w:hAnsi="Times New Roman"/>
          <w:sz w:val="20"/>
        </w:rPr>
        <w:t>тов и минеральных удобрений; накопителей сточных вод животноводческих  комплексов и ферм; жилых зданий, баз отдыха и стоянок автомобилей, производственных предприятий.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1.8.10. Мероприятия  по защите водоемов от загрязнения  сточными водами  следует проводить на основе следующих данных: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санитарной характеристики  водоисточников;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состояние водопользования и канализации (объемы забираемой воды);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состава и количества загрязняющих веществ, поступающих в водный объект со сточными водами существующих и п</w:t>
      </w:r>
      <w:r>
        <w:rPr>
          <w:rFonts w:ascii="Times New Roman" w:hAnsi="Times New Roman"/>
          <w:sz w:val="20"/>
        </w:rPr>
        <w:t>роектируемых предприятий;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эффективности существующих очистных сооружений (по материалам СЭС);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рыбохозяйственной характеристики водоемов в местах водозаборов и выпусков сточных вод.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охраны рыбохозяйственных водоемов устанавливается санитарная  зона вокруг объекта на расстоянии не менее 500 м с учетом конкретных условий.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1.8.11. Сброс неочищенных сточных вод запрещается, а сброс очищенных стоков допускается только при технико-экономическом  и экологическом обосновании и  должен быть минимальным.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1.8.12.  В период строительства и эксплуатации промышленных железных и автомобильных дорог и промышленных предприятий должны выполняться комплексные  природоохранные мероприятия, в состав которых входят конструктивные, технологические и биологические.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Конструктивные мероприятия заключаются: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рациональном выборе и назначении конструкций земляного полотна с учетом максимального сохранения природных мерзлотно-грунтовых и гидрогеологических условий водотеплового режима грунтов и новообразований мерзлоты;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применении  целесообразных термоизолирующих слоев для  проектирования  земляного полотна по I принципу из пенопласта и геотекстиля и др., с целью регулирования новообразования верхнего горизонта вечной мерзлоты;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применении для продольных водоотводов трубофильтров, канав с укрепленными откосами;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укреплении откосов и посевом из дикорастущих трав.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1.8.13. Разработку дорожно-строительных материалов в карьерах и организацию технологических дорог необходимо осуществлять так, чтобы не разрушать ягельников</w:t>
      </w:r>
      <w:r>
        <w:rPr>
          <w:rFonts w:ascii="Times New Roman" w:hAnsi="Times New Roman"/>
          <w:sz w:val="20"/>
        </w:rPr>
        <w:t xml:space="preserve"> и мохово-торфянистые покровы на склонах и в ложбинах, полосах стока, где наиболее вероятно развитие термоэрозионных и солифлюкционных  процессов, приводящих к быстрому развитию оврагов.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1.8.14. Насыпи и водопропускные сооружения следует размещать так, чтобы не создавать подпора стоку поверхностных и надмерзлотных вод зоны сезонно-талого слоя на участках распространения льдонасыщенных грунтов и подземного льда.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1.8.15. В случае образования при строительстве очагов развития термокарста и термоэрозии необхо</w:t>
      </w:r>
      <w:r>
        <w:rPr>
          <w:rFonts w:ascii="Times New Roman" w:hAnsi="Times New Roman"/>
          <w:sz w:val="20"/>
        </w:rPr>
        <w:t xml:space="preserve">димо немедленно засыпать их слоем грунта с тщательным уплотнением; организовать водоотвод и укрепление отвержков и оврагов, подверженных сплывам и оплывинам  и с помощью покрытия их геотекстилем с пригрузкой из неразмывающегося грунта и посевом семенами дикорастущих трав с внесением в грунт минеральных удобрений и извести.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1.8.16. На землях временного отвода после завершения строительства должен быть выполнен комплекс мероприятий по рекультивации и мелиорации земель.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1.8.17. При рекультивации предпочтен</w:t>
      </w:r>
      <w:r>
        <w:rPr>
          <w:rFonts w:ascii="Times New Roman" w:hAnsi="Times New Roman"/>
          <w:sz w:val="20"/>
        </w:rPr>
        <w:t>ие следует отдавать биологическим (геоботаническим мерам), заключающимся  в искусственном создании растительных покровов путем посева или подсева дикорастущих трав (залужения тундры) и посадки кустарников, приживающихся  на данном  ландшафте, с внесением в почвы минеральных и органических удобрений, а также известкования.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1.8.18. Необходимым условием применения биологических методов рекультивации  является создание достаточной тепло- и влагообеспеченности корнеобитаемого слоя растений (почвы и подпочвенног</w:t>
      </w:r>
      <w:r>
        <w:rPr>
          <w:rFonts w:ascii="Times New Roman" w:hAnsi="Times New Roman"/>
          <w:sz w:val="20"/>
        </w:rPr>
        <w:t>о горизонтов) в вегетационный период (июль-август). Для этого следует создавать искусственные почвенно-грунтовые профили, отличающиеся тем, что в толще песчаных грунтов размещают чередующиеся тонкие прослойки глинистого грунта или торфа, обеспечивающие капиллярное  подвешивание влаги, подпор грунтовых  вод и аккумуляцию влаги в корнеобитаемом слое (на глубине 0,2-0,6 м).  Общее  отношение объемов глинистого и песчаного  грунта в таком почвенно-грунтовом профиле должно быть в пределах 1:3 - 1:5.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биологи</w:t>
      </w:r>
      <w:r>
        <w:rPr>
          <w:rFonts w:ascii="Times New Roman" w:hAnsi="Times New Roman"/>
          <w:sz w:val="20"/>
        </w:rPr>
        <w:t>ческой рекультивации пригодны семена овсяницы красной, лисохвоста лугового, мятлика лугового,  вейника лапландского,  щучки северной, овсяницы овечьей и  черенки ивы русской или тундровой, высеваемые  в виде полосы шириной не менее 0,5 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Проектирование населенных пунктов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2.1. Система расселения и общая организация территории 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населенных пунктов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2.1.1. При проектировании населенных пунктов необходимо учитывать их административный статус, народнохозяйственный  профиль, социально-культурный потенциал</w:t>
      </w:r>
      <w:r>
        <w:rPr>
          <w:rFonts w:ascii="Times New Roman" w:hAnsi="Times New Roman"/>
          <w:sz w:val="20"/>
        </w:rPr>
        <w:t>, роль в системе расселения, темп развития, состояние окружающей среды, природно-климатические и другие местные особенности.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2.1.2. Проектирование населенных пунктов следует осуществлять на основе: "Схемы расселения ЗСНГК",  схемы и  проектов районной планировки Тюменской и  Севера Томской области в увязке с Целевой комплексной программой  развития ЗСНГК и ТПК, формирующегося  на его основе, перспективных и текущих планов экономического и социального развития Западно-Сибирского ТПК и ЗСНГК, и данных террит</w:t>
      </w:r>
      <w:r>
        <w:rPr>
          <w:rFonts w:ascii="Times New Roman" w:hAnsi="Times New Roman"/>
          <w:sz w:val="20"/>
        </w:rPr>
        <w:t>ориальных комплексных схем охраны природы.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Градостроительная документация - ТЭО генплана города,  генплан города, корректировка генплана города, проект детальной планировки - должна, как правило, разрабатываться одновременно с соответствующей документацией промышленного проектирования - схемой размещения промышленных предприятий, схемой генерального плана промузла, корректировкой схемы генерального плана промузла, проектом детальной планировки промузла (промрайона и промзоны).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2.1.3. Проекты планировки н</w:t>
      </w:r>
      <w:r>
        <w:rPr>
          <w:rFonts w:ascii="Times New Roman" w:hAnsi="Times New Roman"/>
          <w:sz w:val="20"/>
        </w:rPr>
        <w:t>аселенных пунктов должны предусматривать очередность и территориальные резервы для их развитая и иметь расчетный срок действия.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Проекты планировки должны включать прогнозы территориального развития и принципиальные направления функционального зонирования, развития планировочной структуры, решение важнейших  инженерных проблем и охраны окружающей среды населенных пунктов на перспективу за пределами расчетного срока.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Продолжительность первой очереди строительства городов и  других населенных  пунктов-новост</w:t>
      </w:r>
      <w:r>
        <w:rPr>
          <w:rFonts w:ascii="Times New Roman" w:hAnsi="Times New Roman"/>
          <w:sz w:val="20"/>
        </w:rPr>
        <w:t>роек следует устанавливать в  соответствии со сроками завершения этапов строительства промышленных предприятий населенного пункта.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2.1.4. Города и поселки в зависимости от функциональной роли в системе расселения подразделяются на группы в соответствии с табл. 2.1.2. </w:t>
      </w: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2.1.2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835"/>
        <w:gridCol w:w="3000"/>
        <w:gridCol w:w="2835"/>
        <w:gridCol w:w="15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Группа населенных мест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Функциональная роль городов в системе расселения и их численность, тыс. чел.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Вахтовые поселки, тыс. чел.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Крупные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000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опорный 250-500 </w:t>
            </w:r>
          </w:p>
        </w:tc>
        <w:tc>
          <w:tcPr>
            <w:tcW w:w="283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свыше 3,0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Большие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00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базовый 100-250 </w:t>
            </w: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1,0-3,0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0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</w:t>
            </w:r>
            <w:r>
              <w:rPr>
                <w:rFonts w:ascii="Times New Roman" w:hAnsi="Times New Roman"/>
                <w:sz w:val="20"/>
              </w:rPr>
              <w:t>ационно-хозяйственный центр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Средние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00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50-100 </w:t>
            </w: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 1,0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Малые*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00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20-50 </w:t>
            </w: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 0,5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685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_______________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* В группу малых городов включаются поселки городского типа.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00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10-20 </w:t>
            </w: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300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 10 </w:t>
            </w: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3000" w:type="dxa"/>
            <w:tcBorders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 1. За опорный город следует принимать: центр с региональным уровнем управленческих, производственных, трудовых и культурно-бытовых связей, основная база промышленного освоения вахтовым и экспедиционным методом нефтяных и газовых месторождений Тюменской и севера Томской областей с зоной влия</w:t>
      </w:r>
      <w:r>
        <w:rPr>
          <w:rFonts w:ascii="Times New Roman" w:hAnsi="Times New Roman"/>
          <w:sz w:val="20"/>
        </w:rPr>
        <w:t xml:space="preserve">ния 700-1200 км. В нем располагаются основные региональные управления, производственные объединения, учреждения социально-бытового обслуживания.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За базовый город следует принимать: производственные, административные и общественно-культурные центры систем расселения. Зона влияния - освоение вахтовым методом - 300 км.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них размещаются предприятия производственной инфраструктуры  внутрирайонного значения (энергетика, стройиндустрия, ремонтные базы, базы материально-технического снабжения).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За органи</w:t>
      </w:r>
      <w:r>
        <w:rPr>
          <w:rFonts w:ascii="Times New Roman" w:hAnsi="Times New Roman"/>
          <w:sz w:val="20"/>
        </w:rPr>
        <w:t xml:space="preserve">зационно-хозяйственный центр следует принимать: города в системах расселения, в которых размещаются крупные производственные объединения по добыче нефти и газа, строительные тресты. Зона влияния освоения вахтовым методом - 150 км.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За постоянный поселок следует принимать: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населенный пункт в системе расселения, в котором размещаются нефтегазодобывающие и строительные  управления. Зона влияния освоения вахтовым методом - 50 км.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За вахтовый поселок следует принимать: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поселок, рассчитанный на сменное </w:t>
      </w:r>
      <w:r>
        <w:rPr>
          <w:rFonts w:ascii="Times New Roman" w:hAnsi="Times New Roman"/>
          <w:sz w:val="20"/>
        </w:rPr>
        <w:t>бессемейное проживание трудящихся в период их работы на местах приложения труда. (Под термином "вахтовый поселок" принимаются поселки с вахтовым и экспедиционным режимом труда).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Вахтовые поселки могут быть стационарными и мобильными (со сроком эксплуатации на одной площадке не более 10 лет), в зависимости от длительности существования производственного объекта.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2.1.5. В городах и постоянных поселках, новостройках в составе района первоочередного строительства следует выделять пионерные поселки различного </w:t>
      </w:r>
      <w:r>
        <w:rPr>
          <w:rFonts w:ascii="Times New Roman" w:hAnsi="Times New Roman"/>
          <w:sz w:val="20"/>
        </w:rPr>
        <w:t>типа: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мобильные - с жильем в обслуживанием в передвижных вагончиках или сборно-разборных одноэтажных зданиях индустриального изготовления;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стационарные - с жильем и обслуживанием в одно-двухэтажных зданиях;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поселки, сочетающие  оба вышеуказанных типа.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Мобильные поселки следует размещать на обособленных территориях, примыкающих к коммунальной или промышленной зоне, а также на площадках перспективного строительства. Стационарные поселки  следует размещать на селитебных территориях, не предназначенных в те</w:t>
      </w:r>
      <w:r>
        <w:rPr>
          <w:rFonts w:ascii="Times New Roman" w:hAnsi="Times New Roman"/>
          <w:sz w:val="20"/>
        </w:rPr>
        <w:t xml:space="preserve">чение срока эксплуатации поселка под многоэтажную застройку.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2.1.6. Размещение новых  и развитие существующих городов и других населенных пунктов должно осуществляться комплексно для организации их во взаимосвязанные группы в зависимости от их функций и роли в системе расселения. В системах расселения следует предусматривать общие инженерно-технические устройства, научно-культурные центры, места отдыха и туризма, организацию системы "базовой город - вахта", а также комплекс мероприятий по охране природной</w:t>
      </w:r>
      <w:r>
        <w:rPr>
          <w:rFonts w:ascii="Times New Roman" w:hAnsi="Times New Roman"/>
          <w:sz w:val="20"/>
        </w:rPr>
        <w:t xml:space="preserve"> среды.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2.1.7. В климатическом подрайоне IД следует предусматривать территории вне границ населенных пунктов для садоводческих товариществ из расчета обеспечения количества семей, проживающих в зонах многоэтажного строительства на первую очередь, в %;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большие города - 15-20 %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средние  города - 3-5 %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малые города - 5%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постоянные поселки - 3%.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2.1.8. В проектах планировки и застройки следует обеспечивать создание индивидуального архитектурно-художественного облика и выразительной объемно-пространственн</w:t>
      </w:r>
      <w:r>
        <w:rPr>
          <w:rFonts w:ascii="Times New Roman" w:hAnsi="Times New Roman"/>
          <w:sz w:val="20"/>
        </w:rPr>
        <w:t>ой композиции населенного пункта и его отдельных частей с учетом климатических, природно-ландшафтных и других местных особенностей,  предусматривая высокий уровень внешнего благоустройства, синтез архитектуры и монументально-декоративного искусства, охрану и использование памятников истории и культуры.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2.1.9. Подсобные хозяйства следует размещать вне границ населенных  пунктов по согласованию с органами  государственного надзора.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Расчет проектной  численности населения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2.1.10. Проектную  численность на</w:t>
      </w:r>
      <w:r>
        <w:rPr>
          <w:rFonts w:ascii="Times New Roman" w:hAnsi="Times New Roman"/>
          <w:sz w:val="20"/>
        </w:rPr>
        <w:t>селения городов и других населенных пунктов  следует рассчитывать исходя из численности градообразующей группы.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 новых городов и поселков численность градообразующей группы населения  следует принимать на первую очередь строительства  для опорного центра и базового города - 55-65%, организационно-хозяйственного центра - 60-75%, постоянного поселка - 80-90%,  вахтового поселка - 100% и на расчетный срок для опорного центра и  базового города - 40-45%, организационно-хозяйственного центра - 45-50%, посто</w:t>
      </w:r>
      <w:r>
        <w:rPr>
          <w:rFonts w:ascii="Times New Roman" w:hAnsi="Times New Roman"/>
          <w:sz w:val="20"/>
        </w:rPr>
        <w:t>янного поселка - 60-65%,  вахтового поселка - 100%.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Указания  по расчету проектной численности населения городов и других населенных пунктов даны в приложении 7.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2.2. Промышленные районы, зоны и узлы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2.2.1. Нормы настоящей главы должны соблюдаться при разработке генеральных планов населенных пунктов, при разработке схем размещения промышленных предприятий, схем генпланов промышленных узлов, при размещении  и проектировании отдельных промышленных предприятий. Настоящая глава применяется совместно со СН</w:t>
      </w:r>
      <w:r>
        <w:rPr>
          <w:rFonts w:ascii="Times New Roman" w:hAnsi="Times New Roman"/>
          <w:sz w:val="20"/>
        </w:rPr>
        <w:t>иП II-60-75**, СНиП II-89-90, СН 387-78, ВСН 38-82.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2.2.2. Первая и последующая очереди строительства промузла  должны проектироваться и строиться как пусковой  комплекс  с законченными  общеузловыми  объектами, транспортными  и инженерными сетями и объектами социально-бытового обслуживания трудящихся.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Пусковой комплекс должен размещаться компактно, на единой площадке без необоснованных разрывов между границами промышленных предприятий. На пусковой комплекс и очередь строительства промузла следует разраб</w:t>
      </w:r>
      <w:r>
        <w:rPr>
          <w:rFonts w:ascii="Times New Roman" w:hAnsi="Times New Roman"/>
          <w:sz w:val="20"/>
        </w:rPr>
        <w:t>атывать проект детальной планировки (ПДП). Состав ПДП промышленной  зоны (района) и промышленного узла принимать по соответствующим разделам  ВСН  38-82.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2.2.3. В тех случаях, когда в состав зоны или промузла входят несколько промышленных предприятий и других объектов одного ведомства, относящихся к одному или близким классам по санитарной классификации, следует эти предприятия размещать  на единой площадке, организуя отраслевой или  межотраслевой одноведомственный комплекс с общими объектами инженерного и</w:t>
      </w:r>
      <w:r>
        <w:rPr>
          <w:rFonts w:ascii="Times New Roman" w:hAnsi="Times New Roman"/>
          <w:sz w:val="20"/>
        </w:rPr>
        <w:t xml:space="preserve"> подсобного назначения (склады, ремонтные цеха) и объектами социально-бытового обслуживания трудящихся.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2.2.4. При размещении промзоны и промузла в окружении или на границе селитебной территории города следует осуществлять зонирование территории по архитектурной  значимости предприятий и их объектов. Наиболее крупные и интересные в архитектурном отношении  объекты следует, как  правило, размещать приближенно к селитебным  территориям и на основных автомагистралях населенного пункта,  создавая линейную  или</w:t>
      </w:r>
      <w:r>
        <w:rPr>
          <w:rFonts w:ascii="Times New Roman" w:hAnsi="Times New Roman"/>
          <w:sz w:val="20"/>
        </w:rPr>
        <w:t xml:space="preserve"> пространственную композицию промышленной застройки вдоль основных магистралей.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Промышленные предприятия, застраиваемые небольшими зданиями и сооружениями, как правило, следует размещать в центральных панелях и кварталах промзоны и промузла.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2.2.5. Проектные организации, разрабатывающие проекты отдельных предприятий, должны согласовывать с территориальной проектной организацией номенклатуру применяемых строительных конструкций  с целью проведения унификации строительных решений зданий и сооружений в грани</w:t>
      </w:r>
      <w:r>
        <w:rPr>
          <w:rFonts w:ascii="Times New Roman" w:hAnsi="Times New Roman"/>
          <w:sz w:val="20"/>
        </w:rPr>
        <w:t xml:space="preserve">цах промзоны и промузла.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2.2.6. Промышленные зоны и узлы, размещаемые в окружении селитебной застройки, как правило, следует застраивать многоэтажными промышленными зданиями.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Следует избегать разнохарактерности промышленной  застройки, выходящей на городские площади и автомагистрали, если это не является  основой архитектурного решения и  конкретной композиционной разработки, согласованной с территориальной проектной организацией.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2.2.7. В промышленных узлах и на предприятиях с количеством трудящихся бо</w:t>
      </w:r>
      <w:r>
        <w:rPr>
          <w:rFonts w:ascii="Times New Roman" w:hAnsi="Times New Roman"/>
          <w:sz w:val="20"/>
        </w:rPr>
        <w:t xml:space="preserve">лее 5 тыс.  человек следует проектировать общественный центр промузла или общезаводской общественный центр. При расстоянии между  зданиями общественных центров и цеховыми административно-бытовыми зданиями более 300 м следует предусматривать транспортные перевозки работающих.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2.2.8. Для групп предприятий в промышленных узлах и промышленных районах следует предусматривать строительство закрытых сооружений для занятий физической культурой в соответствии с характеристиками труда работающих.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 Промышленно-</w:t>
      </w:r>
      <w:r>
        <w:rPr>
          <w:rFonts w:ascii="Times New Roman" w:hAnsi="Times New Roman"/>
          <w:sz w:val="20"/>
        </w:rPr>
        <w:t xml:space="preserve">коммунальные зоны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2.3.1. Промышленно-коммунальная зона (ПКЗ) - территория населенного пункта, на которой размещаются комплексы, предприятия и объекты, обеспечивающие повседневные потребности населения в продовольственных товарах, коммунальных и бытовых услугах, с общими для них объектами инженерно-технического, социально-бытового, информационно-технического и административного обеспечения.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ПКЗ следует  проектировать на расчетный срок - 20 лет, пусковой комплекс - на 10-12 лет.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2.3.2. Состав и мощности </w:t>
      </w:r>
      <w:r>
        <w:rPr>
          <w:rFonts w:ascii="Times New Roman" w:hAnsi="Times New Roman"/>
          <w:sz w:val="20"/>
        </w:rPr>
        <w:t>предприятий ПКЗ следует  подбирать с учетом базового, опорного и вахтенного назначения населенного пункта и этапности формирования. При этом в базовых  городах в процессе развития может  возникнуть несколько ПКЗ, размещение которых должно быть основано на комплексной оценке затрат на  строительство, реконструкцию и эксплуатацию,  организации транспортных связей с опорными и вахтенными населенными пунктами по реализации готовой продукции и услуг населению.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2.3.3. Номенклатура  и мощности  (емкости хранения)</w:t>
      </w:r>
      <w:r>
        <w:rPr>
          <w:rFonts w:ascii="Times New Roman" w:hAnsi="Times New Roman"/>
          <w:sz w:val="20"/>
        </w:rPr>
        <w:t xml:space="preserve"> предприятий ПКЗ базовых, опорных и вахтенных населенных пунктов определяются исходя из схем размещения и развития предприятий  отрасли, а также исходя из технико-экономических основ (генерального плана) развития населенного пункта по согласованию с местными советскими органами, отраслевыми министерствами и ведомствами, Советом Министров РСФСР.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 1. Ориентировочная номенклатура и производственные мощности предприятий ПКЗ приведены в Приложении 5.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В населенных пунктах вахтенного типа рекоменду</w:t>
      </w:r>
      <w:r>
        <w:rPr>
          <w:rFonts w:ascii="Times New Roman" w:hAnsi="Times New Roman"/>
          <w:sz w:val="20"/>
        </w:rPr>
        <w:t>ется размещать складские здания для хранения пищевой продукции без перерабатывающих цехов.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2.3.4. Размеры площадей хранилищ на 1000 жителей следует принимать: в картофелехранилищах - 30 м</w:t>
      </w:r>
      <w:r>
        <w:rPr>
          <w:rFonts w:ascii="Times New Roman" w:hAnsi="Times New Roman"/>
          <w:position w:val="-4"/>
          <w:sz w:val="20"/>
        </w:rPr>
        <w:pict>
          <v:shape id="_x0000_i1040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, в овощехранилищах - 80 м</w:t>
      </w:r>
      <w:r>
        <w:rPr>
          <w:rFonts w:ascii="Times New Roman" w:hAnsi="Times New Roman"/>
          <w:position w:val="-4"/>
          <w:sz w:val="20"/>
        </w:rPr>
        <w:pict>
          <v:shape id="_x0000_i1041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,  в фруктохранилищах - 24 м</w:t>
      </w:r>
      <w:r>
        <w:rPr>
          <w:rFonts w:ascii="Times New Roman" w:hAnsi="Times New Roman"/>
          <w:position w:val="-4"/>
          <w:sz w:val="20"/>
        </w:rPr>
        <w:pict>
          <v:shape id="_x0000_i1042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2.3.5. В базовых населенных пунктах застройку ПКЗ следует осуществлять в 2 пусковых  комплекса.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Застройку первого пускового комплекса целесообразно размещать со стороны селитебной территории населенного пункта.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Перечень объектов, рекомендуемых к вклю</w:t>
      </w:r>
      <w:r>
        <w:rPr>
          <w:rFonts w:ascii="Times New Roman" w:hAnsi="Times New Roman"/>
          <w:sz w:val="20"/>
        </w:rPr>
        <w:t>чению в состав 1-го пускового комплекса ПКЗ, приведен в Приложении 5.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2.3.6. На территориях ПКЗ не допускается размещение площадок для открытых складов пылящих материалов, отвалов и отходов.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2.3.8. Здания производственных комплексов следует, как правило, формировать из унифицированных объемно-планировочных единиц  (модулей) комплектной поставки, в  которых могут располагаться следующие цехи (помещения) и службы: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переработки пищевой продукции;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хранения (заморозки) пищевой продукции;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инженерно-тех</w:t>
      </w:r>
      <w:r>
        <w:rPr>
          <w:rFonts w:ascii="Times New Roman" w:hAnsi="Times New Roman"/>
          <w:sz w:val="20"/>
        </w:rPr>
        <w:t>нического обеспечения;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- социально-бытового обслуживания административного и информационно-технического обеспечения;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- дебаркадеры, включающие погрузо-разгрузочные платформы и сырьевые площадки.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2.3.9. В объемно-планировочных решениях  производственных зданий следует предусматривать группировку помещений с одинаковыми  эксплуатационными режимами: температурно-влажностными, санитарными  и др.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Следует группу помещений с повышенным температурно-влажностным режимом по возможности не располагать у наружных</w:t>
      </w:r>
      <w:r>
        <w:rPr>
          <w:rFonts w:ascii="Times New Roman" w:hAnsi="Times New Roman"/>
          <w:sz w:val="20"/>
        </w:rPr>
        <w:t xml:space="preserve"> стен зданий, формировать такую планировочную  схему зданий, при которой эти помещения были бы окружены другими помещениями с нормальным или сухим температурно-влажностным режимом ("ядерная схема" компановки).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2.3.10. Для хранения пищевой продукции в базовых населенных пунктах следует, как правило, применять одноэтажные охлаждаемые складские здания II или IIIа степени огнестойкости павильонного типа, обеспечивающие компактную застройку: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высотой 12 м с передвижными стеллажами;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высотой 16,8 и более с непод</w:t>
      </w:r>
      <w:r>
        <w:rPr>
          <w:rFonts w:ascii="Times New Roman" w:hAnsi="Times New Roman"/>
          <w:sz w:val="20"/>
        </w:rPr>
        <w:t xml:space="preserve">вижными стеллажами, обслуживаемыми кранами-штабелерами;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высотой 12 м для хранения продукции в крупных сетчатых контейнерах и установкой их по высоте в 5 рядов и использовании мостовых кранов.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 1. Предпочтительным является применение складов, не требующих  сложных  механизмов на погрузо-разгрузочных  работах.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Допускается использование  зданий без проветриваемых подполий, а также  устройство выемок в массиве многолетних мерзлых пород для устройства охлаждаемых складов продовольственных товар</w:t>
      </w:r>
      <w:r>
        <w:rPr>
          <w:rFonts w:ascii="Times New Roman" w:hAnsi="Times New Roman"/>
          <w:sz w:val="20"/>
        </w:rPr>
        <w:t xml:space="preserve">ов и низкотемпературных  холодильников.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2.3.11. В населенных пунктах вахтенного типа следует, как правило, применять для хранения пищевой продукции в контейнерах укрытия с применением воздухоопорных  оболочек, легких металлических конструкций комплектной поставки и др.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2.3.12. Для  утилизации избыточного тепла при работе станций перекачки газоконденсата и др. тепловыделяющих  производственных объектов рекомендуется устройство тепличного хозяйства.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2.3.13. В целях механизации погрузочно-разгрузочных  раб</w:t>
      </w:r>
      <w:r>
        <w:rPr>
          <w:rFonts w:ascii="Times New Roman" w:hAnsi="Times New Roman"/>
          <w:sz w:val="20"/>
        </w:rPr>
        <w:t>от и улучшения  условий труда на них  на предприятия агропромышленного комплекса следует предусматривать закрытые  автомобильный и железнодорожные дебаркадеры, а при обосновании, и крытые грузовые дворы.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Температуру внутреннего воздуха в дебаркадерах и крытых грузовых дворах следует принимать не ниже + 5°С.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  Транспорт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2.4.1. Внешний транспорт должен обеспечивать потребности населения города во внегородских трудовых (ежедневных и периодических - вахтовых и экспедиционных) и культурно-быт</w:t>
      </w:r>
      <w:r>
        <w:rPr>
          <w:rFonts w:ascii="Times New Roman" w:hAnsi="Times New Roman"/>
          <w:sz w:val="20"/>
        </w:rPr>
        <w:t>овых (периодических - в пределах локальных систем и эпизодических - в пределах региональной системы расселения) корреспонденциях населения во взаимосвязи с системой путей сообщения населенного пункта.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улучшения обслуживания пассажиров и обеспечения взаимодействия для этого разных видов транспорта целесообразно проектировать объединенные транспортные узлы (пассажирские вокзалы)  различных видов транспорта, размещаемые вместе с учреждениями обслуживания социально-бытового назначения в едином комплексе. О</w:t>
      </w:r>
      <w:r>
        <w:rPr>
          <w:rFonts w:ascii="Times New Roman" w:hAnsi="Times New Roman"/>
          <w:sz w:val="20"/>
        </w:rPr>
        <w:t>н должен иметь удобные транспортные связи с центром, жилыми  и промышленными  зонами и другими основными транспортными узлами населенного пункта.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Территории железнодорожного транспорта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2.4.2. Линии железнодорожного транспорта для вновь проектируемых населенных мест следует трассировать по периферии селитебной территории взаимосвязанно с промышленными территориями города.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2.4.3. Расстояние между остановочными пунктами с пригородно-городским пассажирским движением в существующих опорных и наиболее крупных</w:t>
      </w:r>
      <w:r>
        <w:rPr>
          <w:rFonts w:ascii="Times New Roman" w:hAnsi="Times New Roman"/>
          <w:sz w:val="20"/>
        </w:rPr>
        <w:t xml:space="preserve"> базовых городах следует принимать 1000-1300 м в пределах застроенной территории.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случае примыкания вахтового поселка к трассе железной дороги необходимо предусматривать пункты пересадки (ожидания,  сбора) с железнодорожного на автомобильный транспорт.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Территории водного транспорта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2.4.4. Пассажирские районы морских и речных портов следует размещать вблизи центральной части населенного пункта, а грузовые районы - за пределами селитебных территорий. Размещение  грузовых районов портов, пристаней, прича</w:t>
      </w:r>
      <w:r>
        <w:rPr>
          <w:rFonts w:ascii="Times New Roman" w:hAnsi="Times New Roman"/>
          <w:sz w:val="20"/>
        </w:rPr>
        <w:t>лов, складских помещений не  должно препятствовать выходу городской застройки к водным пространствам.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2.4.5. Морские и речные вокзалы должны иметь удобную транспортную связь с вокзалами других видов транспорта. Необходимо предусматривать возможность использования  зданий вокзалов в межнавигационный период для социально-бытового обслуживания населения.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2.4.6. Береговые базы и места  стоянки маломерных судов, принадлежащих  спортивным клубам и гражданам, следует размещать за пределами жилой застройки населе</w:t>
      </w:r>
      <w:r>
        <w:rPr>
          <w:rFonts w:ascii="Times New Roman" w:hAnsi="Times New Roman"/>
          <w:sz w:val="20"/>
        </w:rPr>
        <w:t>нных пунктов, а в пригородных зонах - за пределами зон массового отдыха, лечебно-профилактических учреждений и с учетом  обеспечения безопасного движения судов.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Местами хранения, как правило, должно быть обеспечено не менее 70% общего количества судов. Размер участка при одноярусном  стеллажном хранении судов следует принимать  (на одно место): для прогулочного флота - 27 м</w:t>
      </w:r>
      <w:r>
        <w:rPr>
          <w:rFonts w:ascii="Times New Roman" w:hAnsi="Times New Roman"/>
          <w:position w:val="-4"/>
          <w:sz w:val="20"/>
        </w:rPr>
        <w:pict>
          <v:shape id="_x0000_i1043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, спортивного - 75 м</w:t>
      </w:r>
      <w:r>
        <w:rPr>
          <w:rFonts w:ascii="Times New Roman" w:hAnsi="Times New Roman"/>
          <w:position w:val="-4"/>
          <w:sz w:val="20"/>
        </w:rPr>
        <w:pict>
          <v:shape id="_x0000_i1044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Территория сооружений воздушного транспорта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2.4.7. Развитие действующих и размещение вновь создаваемых аэрод</w:t>
      </w:r>
      <w:r>
        <w:rPr>
          <w:rFonts w:ascii="Times New Roman" w:hAnsi="Times New Roman"/>
          <w:sz w:val="20"/>
        </w:rPr>
        <w:t xml:space="preserve">ромов и аэропортов должно определяться в соответствии с перспективной схемой периодических  трудовых экспедиционных, вахтовых и эпизодических культурно-бытовых корреспонденций и с учетом перспективного размещения основных  функциональных зон внутри города и в прилегающей  к нему территории.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Класс аэропортов определяется расчетным  объемом годового пассажирооборота, а класс аэродрома - расчетным типом самолета, который  устанавливается с учетом объема  и дальности  грузовых и пассажирских перевозок и в соо</w:t>
      </w:r>
      <w:r>
        <w:rPr>
          <w:rFonts w:ascii="Times New Roman" w:hAnsi="Times New Roman"/>
          <w:sz w:val="20"/>
        </w:rPr>
        <w:t xml:space="preserve">тветствии со специальными техническими  нормами.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Аэропорты I, II, III классов размещаются  в опорных  и базовых городах, IV и V классов - в базовых городах, организационно-хозяйственных центрах, постоянных  поселках и в конкретных  случаях у наиболее крупных месторождений или на группу месторождений.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Все вахтовые поселки должны иметь вертолетные посадочные площадки. При наличии технико-экономических обоснований  организуются вертодромы или  взлетно-посадочные  полосы для самолетов местных воздушных лини</w:t>
      </w:r>
      <w:r>
        <w:rPr>
          <w:rFonts w:ascii="Times New Roman" w:hAnsi="Times New Roman"/>
          <w:sz w:val="20"/>
        </w:rPr>
        <w:t>й (МВП).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2.4.8. Размещение новых аэродромов А, Б, В и Г классов должно  предусматриваться в пригородной зоне, за пределами населенных пунктов и зон массового отдыха населения в соответствии с  требованиями СНиП 2.05.08-75.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2.4.9. Городские  аэровокзалы следует  создавать в опорных, а также в базовых городах, обслуживаемых аэропортами с пассажирооборотом не менее 1000 тыс. пасс. в год, а в остальных случаях - агентства воздушных сообщений или пункты отправления и прибытия авиапассажиров, которые должны раз</w:t>
      </w:r>
      <w:r>
        <w:rPr>
          <w:rFonts w:ascii="Times New Roman" w:hAnsi="Times New Roman"/>
          <w:sz w:val="20"/>
        </w:rPr>
        <w:t>мещаться на магистралях города, ведущих к аэропортам - в 30-40 минутной транспортной доступности от них и иметь удобную связь с центром и основными пересадочными узлами города.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Территории сооружений автомобильного транспорта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2.4.10. Развитие  дорожной  сети должно осуществляться в соответствии с классификацией  дорог: дороги общего пользования и ведомственные дороги.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Сеть дорог общего пользования формируется из существующих дорог общего пользования и основных ведомственных дорог, связанных с обслуживан</w:t>
      </w:r>
      <w:r>
        <w:rPr>
          <w:rFonts w:ascii="Times New Roman" w:hAnsi="Times New Roman"/>
          <w:sz w:val="20"/>
        </w:rPr>
        <w:t>ием постоянных населенных мест (опорных городов, базовых и организационно-хозяйственных центров, постоянных поселков), головных баз снабжения, промышленных узлов, крупных промышленных зон и объектов. Дороги общего пользования должны иметь техническую категорию на ниже IV-й.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Ведомственные (меж- и внутриобъектные) автомобильные дороги должны обеспечивать перевозки на подъездах от дорог общего пользования  к отдельным  производственным объектам, приобъектовым базам. Технологические перевозки до узловых произв</w:t>
      </w:r>
      <w:r>
        <w:rPr>
          <w:rFonts w:ascii="Times New Roman" w:hAnsi="Times New Roman"/>
          <w:sz w:val="20"/>
        </w:rPr>
        <w:t>одственных точек, внутриобъектные перевозки, подвоз рабочих смен непосредственно  к местам приложения труда.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 дорогам общего пользования и ведомственным должна  осуществляться ежедневная доставка трудящихся к месту работы.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Автомобильные  дороги I, II и III категории, проходящие вне подрайона IГ через населенный пункт, следует проектировать по нормам магистралей непрерывного движения с обеспечением  транспортного обслуживания прилегающей территории населенного пункта с боковых проездов или других магист</w:t>
      </w:r>
      <w:r>
        <w:rPr>
          <w:rFonts w:ascii="Times New Roman" w:hAnsi="Times New Roman"/>
          <w:sz w:val="20"/>
        </w:rPr>
        <w:t xml:space="preserve">ральных улиц того же  направления.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Новые пассажирские автостанции и автовокзалы в населенных пунктах следует размещать на основных магистралях, связывающих центральную зону с автомобильными дорогами общей сети и системы расселения, в опорных и наиболее крупных базовых центрах - как правило, в периферийных или средних зонах, в базовых организационно-хозяйственных центрах и постоянных населенных пунктах - в центральных районах в увязке со станциями и остановками общественного пассажирского транспорта, торго</w:t>
      </w:r>
      <w:r>
        <w:rPr>
          <w:rFonts w:ascii="Times New Roman" w:hAnsi="Times New Roman"/>
          <w:sz w:val="20"/>
        </w:rPr>
        <w:t>выми центрами, рынками и вокзалами других видов внешнего транспорта.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обеспечения  внешних  автомобильных связей в вахтовых поселках следует предусматривать пункты сбора и ожидания пассажиров (автопавильоны).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Грузовые транспортные предприятия централизованных перевозок следует размещать вне населенных пунктов и зон массового отдыха населения, а обслуживающие населенный пункт - вблизи грузовых станций и дворов  железнодорожного и других видов транспорта, на производственных территориях населенного пункт</w:t>
      </w:r>
      <w:r>
        <w:rPr>
          <w:rFonts w:ascii="Times New Roman" w:hAnsi="Times New Roman"/>
          <w:sz w:val="20"/>
        </w:rPr>
        <w:t>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Станции технического обслуживания и заправочные  станции транзитного автомобильного транспорта следует размещать  на подходах автомобильных дорог I-III категории к населенному  пункту.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Транспортные коммуникации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2.4.11. Настоящие строительные нормы следует соблюдать при  проектировании промышленного железнодорожного транспорта внешних (подъездных) и внутренних железнодорожных путей колеи 1520 (1524 и 1535) мм и автомобильного транспорта - подъездных и внутренних автомобильных дорог на объектах промышл</w:t>
      </w:r>
      <w:r>
        <w:rPr>
          <w:rFonts w:ascii="Times New Roman" w:hAnsi="Times New Roman"/>
          <w:sz w:val="20"/>
        </w:rPr>
        <w:t>енного и гражданского назначения.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2.4.12. Нормы и правила учитывают особенности проектирования  сооружений и устройств промышленных железнодорожных путей и автомобильных дорог в сложных инженерно-геологических, гидрогеологических и климатических условиях указанного в п. 1.1 - региона.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проектировании объектов транспорта должны учитываться также  требования - CНиП 2.05.07-85, СНиП 2.05.2-85, СНиП 2.05.03.84, СНиП II-91-77, СНиП 2.01.01.82,  противопожарных, санитарных норм и государственных стандартов,</w:t>
      </w:r>
      <w:r>
        <w:rPr>
          <w:rFonts w:ascii="Times New Roman" w:hAnsi="Times New Roman"/>
          <w:sz w:val="20"/>
        </w:rPr>
        <w:t xml:space="preserve"> а также требований к рациональному водо- и землепользованию  и охране окружающей  среды.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2.4.13. При проектировании железных и автомобильных дорог промышленных предприятий  необходимо учитывать влияние повышенной  снегозаносимости  дорожного полотна.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2.4.14. Конструкцию земляного полотна, верхнего строения, дорожных одежд и других элементов сооружений  железных и автомобильных дорог следует назначать с условием полной механизации строительных работ, текущего содержания и ремонта.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2.4.15. Эксплуатационн</w:t>
      </w:r>
      <w:r>
        <w:rPr>
          <w:rFonts w:ascii="Times New Roman" w:hAnsi="Times New Roman"/>
          <w:sz w:val="20"/>
        </w:rPr>
        <w:t xml:space="preserve">ое обслуживание промышленного транспорта должно осуществляться бригадами, базирующимися  в пристанционных и вахтовых поселках с применением, как правило, вахтового метода работы.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2.4.16. В проекте необходимо разработать мероприятия по защите природной среды (сохранение мохово-растительного слоя, запрещение рубки кустарников, леса, разработки притрассовых резервов местных грунтов, предупреждение тепловой эрозии и т.п.) в соответствии с требованиями BCН 200-85.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2.4.17. На периоды строительства и временной </w:t>
      </w:r>
      <w:r>
        <w:rPr>
          <w:rFonts w:ascii="Times New Roman" w:hAnsi="Times New Roman"/>
          <w:sz w:val="20"/>
        </w:rPr>
        <w:t>эксплуатации транспорта в проектах следует предусматривать выполнение объемов работ по дополнительным инженерным изысканиям, проектированию и строительству с целью устранения деформаций земляного полотна и защиты окружающей среды.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Железнодорожный транспорт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План и продольный профиль пути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2.4.18. При проектировании продольного профиля пути наибольшую алгебраическую разность сопрягаемых уклонов следует принимать не более 10% с сопряжением смежных прямолинейных элементов в вертикальной плоскости  кривыми р</w:t>
      </w:r>
      <w:r>
        <w:rPr>
          <w:rFonts w:ascii="Times New Roman" w:hAnsi="Times New Roman"/>
          <w:sz w:val="20"/>
        </w:rPr>
        <w:t>адиусами 2000 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2.4.19. Превышение бровки земляного полотна насыпей над расчетным уровнем  снежного покрова на перегонах внешних и  внутренних соединительных путях с открытым  балластным слоем следует принимать не менее 0,7 м, а на раздельных  пунктах с числом путей более 3 - не менее  1,0 м. На снегозаносимых участках пути следует предусматривать постоянные устройства, обеспечивающие  его снегонезаносимость.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2.4.20. Кроме расчетного количества путей - на промышленных железнодорожных станциях следует про</w:t>
      </w:r>
      <w:r>
        <w:rPr>
          <w:rFonts w:ascii="Times New Roman" w:hAnsi="Times New Roman"/>
          <w:sz w:val="20"/>
        </w:rPr>
        <w:t>ектировать по одному тупику длиной не менее 150 м для стоянок снегоочистительной техники и длиной 300 м для аварийно-восстановительных поездов эксплуатационной службы газопроводов.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Земляное полотно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Основные требования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2.4.21. Земляное полотно  следует проектировать: с минимальным  использованием выемок,  исходя из условий снегозаносимости и  обеспечения естественного водоотвода, с максимальным использованием  песчаных грунтов в талом, сыпучемерзлом и сухомерзлом состоянии, с применением инженерных спосо</w:t>
      </w:r>
      <w:r>
        <w:rPr>
          <w:rFonts w:ascii="Times New Roman" w:hAnsi="Times New Roman"/>
          <w:sz w:val="20"/>
        </w:rPr>
        <w:t>бов управления температурным режимом  грунтовых массивов и с применением  армирующих  и дренирующих прослоек геотекстиля.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2.4.22. Конструкции земляного полотна разрабатывают по типовым или индивидуальным проектам исходя из учета: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типа местности  (категории) грунтов по термопросадочности и величины относительной осадки  при оттаивании мерзлых грунтов (табл. 6.1, приложение 6);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температуры вечномерзлых грунтов основания земляного полотна по указаниям  п. 1, приложение 6;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дорожно-климатического районирован</w:t>
      </w:r>
      <w:r>
        <w:rPr>
          <w:rFonts w:ascii="Times New Roman" w:hAnsi="Times New Roman"/>
          <w:sz w:val="20"/>
        </w:rPr>
        <w:t>ия Западно-Сибирского комплекса (рис. 6.1, приложение 6);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глубины сезонного оттаивания грунтов (рис. 6.2, приложение 6);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состава и состояния грунтов в карьерах и их технологической пригодности для сооружения земляного полотна;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технологии сооружения  земляного полотна (по ВСН 200-85).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2.4.23. Насыпи и выемки следует проектировать в северной зоне 1-1 (рис. 6.1, приложение 6)  по принципу - с сохранением "новообразованной" мерзлоты с применением теплоизоляционных слоев из торфа, пенопласта и геотекстилей, </w:t>
      </w:r>
      <w:r>
        <w:rPr>
          <w:rFonts w:ascii="Times New Roman" w:hAnsi="Times New Roman"/>
          <w:sz w:val="20"/>
        </w:rPr>
        <w:t>а также с учетом состава и состояния  грунтов в карьерах и технологии производства работ.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Насыпи и выемки в дорожно-климатической зоне 1-3 (рис.  6.1, приложение 6)  следует проектировать по II принципу  - с допущением оттаивания высокотемпературной мерзлоты под земляным  полотном и его осадкой по расчету.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2.4.24. На участках распространения высокотемпературных вечномерзлых грунтов земляное полотно следует проектировать с учетом  возможной деградации мерзлоты (II принцип строительства), особенно на селите</w:t>
      </w:r>
      <w:r>
        <w:rPr>
          <w:rFonts w:ascii="Times New Roman" w:hAnsi="Times New Roman"/>
          <w:sz w:val="20"/>
        </w:rPr>
        <w:t>бных и обжитых территориях с разработкой комплексных технических мероприятий  по обеспечению сохранения (стабилизации)  земляного полотна в вечномерзлом состоянии.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2.4.25. По типовым поперечным профилям следует проектировать насыпи на грунтах I и II категории термопросадочности на скальных, крупнообломочных,  песчаных талых и сыпучемерзлых грунтах; выемки глубиной до 12 м; - в скальных и крупнообломочных грунтах I категории просадочности.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2.4.26. Индивидуальному проектированию (кроме условий, регламентиру</w:t>
      </w:r>
      <w:r>
        <w:rPr>
          <w:rFonts w:ascii="Times New Roman" w:hAnsi="Times New Roman"/>
          <w:sz w:val="20"/>
        </w:rPr>
        <w:t>емых СНиП 2.05.02-85, СНиП II-39-76, СНиП 2.05.07-85, ВСН 200-85) подлежит земляное полотно на участках: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производства земляных работ с использованием твердомерзлых песчаных грунтов (табл. 6.2, приложение  6);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производства работ способом гидромеханизации;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периодического подтопления и пересечения озер;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интенсивного снегометелевого  переноса;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развития термоэрозионного оврагообразования, солифлюкции и  бугров пучения;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насыпи из скальных, крупнообломочных, песчаных и сыпучемерзлых грунтов на  вечномерзлы</w:t>
      </w:r>
      <w:r>
        <w:rPr>
          <w:rFonts w:ascii="Times New Roman" w:hAnsi="Times New Roman"/>
          <w:sz w:val="20"/>
        </w:rPr>
        <w:t>х грунтах III и  IV категорий термопросадочности и на участках залегания подземных  льдов (рис. 6.2-6.8, приложение  6);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выемки  в грунтах III иIY категорий термопросадочности;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выемки на сильнозаносимых участках;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участках погребного льда, на  льдонасыщенных грунтах III и IV категории термопросадочности, на косогорах крутизной 3-15° и в местах развития наледей;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 пересечении железнодорожной линией  автомобильных дорог, нефте-газопроводов на основании теплотехнических расчетов и соблюдении комплекс</w:t>
      </w:r>
      <w:r>
        <w:rPr>
          <w:rFonts w:ascii="Times New Roman" w:hAnsi="Times New Roman"/>
          <w:sz w:val="20"/>
        </w:rPr>
        <w:t xml:space="preserve">а мероприятий, исключающих неравномерные просадки и морозное пучение.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Требования к грунтам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2.4.27. Грунты для сооружения земляного полотна промышленного железнодорожного транспорта по физико-механическим и прочностным свойствам  должны обеспечивать устойчивость основной площадки откосов и исключать возможность образования деформаций при оттаивании и промерзании.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невозможности обеспечения требуемой плотности грунтов основной площадки земляного полотна они должны быть армированы геотекстилем  рис.  </w:t>
      </w:r>
      <w:r>
        <w:rPr>
          <w:rFonts w:ascii="Times New Roman" w:hAnsi="Times New Roman"/>
          <w:sz w:val="20"/>
        </w:rPr>
        <w:t>6.3, 6.5, 6.6, 6.8 (приложение 6).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2.4.28. Для сооружения насыпей должны максимально использоваться песчаные  грунты из сосредоточенных резервов (карьеров), закладываемых в поймах и на террасах рек.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Сыпучемерзлые грунты пригодны для  сооружения  земляного полотна без ограничений.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Сухомерзлые грунты пригодны для сооружения земляного полотна  по технологическим схемам с послойным их уплотнением решетчатыми и вибрационными катками и с учетом осадки  доуплотнения при оттаивании.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Твердомерзлые песчаные грунт</w:t>
      </w:r>
      <w:r>
        <w:rPr>
          <w:rFonts w:ascii="Times New Roman" w:hAnsi="Times New Roman"/>
          <w:sz w:val="20"/>
        </w:rPr>
        <w:t xml:space="preserve">ы допускается укладывать в насыпи, если их содержание в массе талого грунта не превышает  30% по объему в сезонноталом слое и 50% в пределах прогнозируемого вечномерзлого ядра насыпи, с тщательным послойным уплотнением.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2.4.29. Льдонасыщенные мерзлые грунты без предварительной подготовки укладывать в земляное полотно не допускается. Льдонасыщенные песчаные грунты допускается использовать для заготовки талого грунта в карьерах методом послойного радиационного оттаивания с гидромониторной или гидромониторно</w:t>
      </w:r>
      <w:r>
        <w:rPr>
          <w:rFonts w:ascii="Times New Roman" w:hAnsi="Times New Roman"/>
          <w:sz w:val="20"/>
        </w:rPr>
        <w:t>-бульдозерной периодической срезкой оттаивающего грунта.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Льдогрунтовую массу укладывать в земляное полотно допускается с характеристиками, указанными в табл. 6.2, приложение  6 с соблюдением принятой технологии работ по ВСН 200-85.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Талые и заблаговременно оттаянные грунты допускается укладывать в земляное полотно в соответствии с требованиями  ВСН 186-75.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Насыпи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2.4.30. Высоту насыпи следует назначать: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снегозаносимых участках - из условий снегозаносимости; 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участках подтопления - из условий  </w:t>
      </w:r>
      <w:r>
        <w:rPr>
          <w:rFonts w:ascii="Times New Roman" w:hAnsi="Times New Roman"/>
          <w:sz w:val="20"/>
        </w:rPr>
        <w:t>возвышения бровки насыпи над уровнем воды расчетной повторяемости с учетом подпора и  высоты наката волны на откос;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сильнопросадочных, низкотемпературных вечномерзлых грунтах - из условия  сохранения грунтов основания в мерзлом состоянии;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из условия возвышения  основной площадки  над капиллярным поднятием воды в теле насыпи с целью обеспечения динамической  устойчивости;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из условия  исключения образования пучин на мокрых и обводненных грунтах основания.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2.4.31. Минимальную высоту насыпи назначают: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непросадочных и малопросадочных грунтах основания - I и II категорий  по термопросадочности из условия: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возвышения основной  площадки выше капиллярного поднятия  на 0,3-0,5 м;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сильнопросадочных грунтах IV категории термопросадочности  из условия  сохранения естественного положения или повышения верхней границы вечной  мерзлоты под насыпью;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участках повышенной снегозаносимости из условия возвышения бровки земляного полотна над поверхностью снежного  покрова на 0,5 м, считая по замерам в марте-апр</w:t>
      </w:r>
      <w:r>
        <w:rPr>
          <w:rFonts w:ascii="Times New Roman" w:hAnsi="Times New Roman"/>
          <w:sz w:val="20"/>
        </w:rPr>
        <w:t>еле над наивысшими элементами рельефа или кустарником.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2.4.32. Насыпи высотой  до 6 м на вечномерзлых грунтах III и IV категории  термопросадочности при отсутствии водоотводов следует проектировать с бермами  шириной  3-4 м и высотой 1-1,5 м (рис. 6.7, приложение  6), а при высоте насыпи более 6 м размеры берм определяют расчетом (рис. 6.3, приложение  6).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2.4.33. Глубину залегания верхней границы вечномерзлых грунтов на время ее стабилизации (новообразований) под насыпью, а также мощность сезоннооттаиваю</w:t>
      </w:r>
      <w:r>
        <w:rPr>
          <w:rFonts w:ascii="Times New Roman" w:hAnsi="Times New Roman"/>
          <w:sz w:val="20"/>
        </w:rPr>
        <w:t xml:space="preserve">щего слоя (СТС) в природных условиях определяют по расчету согласно методики, приведенной в СНиП II-18-76.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2.4.34. Ширину насыпей  назначают с учетом  уширения основной площадки, с целью  компенсации осадки грунтов основания и тела насыпи в эксплуатационный период  - при подъемке пути на балласт.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2.4.35. Величину  относительной осадки насыпи при оттаивании грунтов ориентировочно принимают для сыпучемерзлых  грунтов 1-2% и сухомерзлых 3-7%. При заготовке твердомерзлых грунтов в буртах коэффициент разрыхл</w:t>
      </w:r>
      <w:r>
        <w:rPr>
          <w:rFonts w:ascii="Times New Roman" w:hAnsi="Times New Roman"/>
          <w:sz w:val="20"/>
        </w:rPr>
        <w:t xml:space="preserve">ения opиентировочно принимают равным 1,15-1,20.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Осадки оснований насыпей высотой до 2 м на типичных ландшафтах  Западно-Сибирского региона на стадии разработки ТЭО и проекта следует назначать по табл. 6.3, приложение 6.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2.4.36. Крутизну откосов насыпей высотой 1,5-3,0 м, проектируемых из условия обеспечения их снегозаносимости на участках, сложенных льдонасыщенными  сильнопросадочными  грунтами, следует принимать 1:3, а откосы снегозаносимых выемок  1:4 - 1:6.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2.4.37. Минимальная высота берм и материал,</w:t>
      </w:r>
      <w:r>
        <w:rPr>
          <w:rFonts w:ascii="Times New Roman" w:hAnsi="Times New Roman"/>
          <w:sz w:val="20"/>
        </w:rPr>
        <w:t xml:space="preserve"> из которого они отсыпаются, должны выбираться из условия необходимости сохранения под ними "новообразованной" вечной мерзлоты.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Насыпи с устройствами для  регулирования  верхнего горизонта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вечной мерзлоты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2.4.38. На участках с залеганием  льдонасыщенных  грунтов и подземного льда на глубине 1,5 м и более следует применять конструкции насыпей с устройством теплоизоляционных слоев  по расчету рис. 6.2, приложение  6.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Насыпи с пологими откосами, прикрытыми торфо-грунтовой смесью и геотекстилем под основно</w:t>
      </w:r>
      <w:r>
        <w:rPr>
          <w:rFonts w:ascii="Times New Roman" w:hAnsi="Times New Roman"/>
          <w:sz w:val="20"/>
        </w:rPr>
        <w:t>й площадкой земляного полотна, следует проектировать по профилю рис. 6.3, приложение 6.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Насыпи на  талых слабых грунтах следует проектировать с обоймой (рис. 6.6, 6.7, приложение  6);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Насыпи с заменой слабых  грунтов на дренирующий  следует  проектировать по профилю  (рис. 6.4, 6.6-6.8, приложение  6).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2.4.39. На участках примыкания насыпей к  искусственным  сооружениям допускается  устройство продуваемых  (вентилируемых) труб по индивидуальному проекту.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2.4.40. Геотекстили для сооружения земляного поло</w:t>
      </w:r>
      <w:r>
        <w:rPr>
          <w:rFonts w:ascii="Times New Roman" w:hAnsi="Times New Roman"/>
          <w:sz w:val="20"/>
        </w:rPr>
        <w:t>тна применяют в целях: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повышения несущей способности и уменьшения деформируемости основной площадки;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повышения надежности  работы прослоек из влагоемких грунтов в конструкциях земляного полотна, рассчитанных на сохранение "новообразования" мерзлоты;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повышения устойчивости и равнопрочности узлов, сопряжений насыпей с искусственными сооружениями,  а также  участков земляного полотна, испытывающих повышенные динамические  нагрузки (под стыками, стрелочными переводами, переездами);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укрепления откосов, водо</w:t>
      </w:r>
      <w:r>
        <w:rPr>
          <w:rFonts w:ascii="Times New Roman" w:hAnsi="Times New Roman"/>
          <w:sz w:val="20"/>
        </w:rPr>
        <w:t>отводов и обочин;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повышения долговечности и надежности работы балластной призмы и основной площадки, а также дренажных устройств;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противопучинной защиты земляного полотна;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расширения области целесообразного применения местных пылеватных и связных грунтов;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ускорения обезвоживания штабелей намывного грунта, подготавливаемых к разработке в зимнее время;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ускорения стабилизации слабых и оттаивающих грунтов оснований; </w:t>
      </w:r>
    </w:p>
    <w:p w:rsidR="00000000" w:rsidRDefault="00E74FE9">
      <w:pPr>
        <w:ind w:firstLine="270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повышения темпов строительства и укладки верхнего строения пути в условиях дефицита балл</w:t>
      </w:r>
      <w:r>
        <w:rPr>
          <w:rFonts w:ascii="Times New Roman" w:hAnsi="Times New Roman"/>
          <w:sz w:val="20"/>
        </w:rPr>
        <w:t>астных материалов.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2.4.41.  Армированию и дренированию подлежат только талые и оттаивающие элементы грунтового массива земляного полотна.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2.4.42. Подтопляемые участки насыпи следует  отсыпать из песчаных грунтов с содержанием  фракций размером менее  0,1 мм не более 30% или из талых глинистых грунтов с преобладанием каолинитовых и гидрослюдистых минералов над монториллонитовыми. 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2.4.43. Для ускорения  зарастания пляжевых откосов необходимо выполнить работы по их биологическому залужению с известковани</w:t>
      </w:r>
      <w:r>
        <w:rPr>
          <w:rFonts w:ascii="Times New Roman" w:hAnsi="Times New Roman"/>
          <w:sz w:val="20"/>
        </w:rPr>
        <w:t>ем почв и внесением  удобрений и засеять откосы дикорастущими травами.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2.4.44. У водопропускных труб и малых мостов  бровка земляного полотна должна возвышаться над расчетным горизонтом с учетом подпора и высота волны с набегом ее на откос не менее 1 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2.4.45. При высоте подтопления более 2 м следует применять бермы с пологими (1:3-1:4) откосами, укрепленными матами из геотекстиля или железобетонными плитами, уложенными по слою геотекстиля. Допускается устройство берм из привозного скального или валунно-</w:t>
      </w:r>
      <w:r>
        <w:rPr>
          <w:rFonts w:ascii="Times New Roman" w:hAnsi="Times New Roman"/>
          <w:sz w:val="20"/>
        </w:rPr>
        <w:t>галечного грунта.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Выемки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2.4.46. Выемки в вечномерзлых грунтах III-IV категорий термопросадочности  следует проектировать с заменой грунта основной площадки дренирующим грунтом с термоизоляцией откосов из торфа  или пенопласта, согласно рис. 6.9 приложения 6.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2.4.47. Выемки в вечномерзлых глинистых грунтах и пылеватых песках I-II категории термопросадочности, а также в древесно-щебенистых, галечниковых и  гравийных  грунтах с суглинистым и супесчаным заполнителями III категории термопросадочности следу</w:t>
      </w:r>
      <w:r>
        <w:rPr>
          <w:rFonts w:ascii="Times New Roman" w:hAnsi="Times New Roman"/>
          <w:sz w:val="20"/>
        </w:rPr>
        <w:t>ет проектировать по типовому профилю рис. 6.10 приложения  6.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2.4.48. В выемках глубиной  до 6 м при уклоне местности 1:10  и положе при объемах снегопереноса более 200 м</w:t>
      </w:r>
      <w:r>
        <w:rPr>
          <w:rFonts w:ascii="Times New Roman" w:hAnsi="Times New Roman"/>
          <w:position w:val="-4"/>
          <w:sz w:val="20"/>
        </w:rPr>
        <w:pict>
          <v:shape id="_x0000_i1045" type="#_x0000_t75" style="width:9pt;height:17.25pt">
            <v:imagedata r:id="rId6" o:title=""/>
          </v:shape>
        </w:pict>
      </w:r>
      <w:r>
        <w:rPr>
          <w:rFonts w:ascii="Times New Roman" w:hAnsi="Times New Roman"/>
          <w:sz w:val="20"/>
        </w:rPr>
        <w:t>/м год в  вечномерзлых грунтах I и II категории термопросадочности крутизну откосов следует принимать  при глубине  выемки I-3 м - 1:4, а 3-5 м - 1:3.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вечномерзлых грунтах III-IV категории термопросадочности крутизну откосов выемки следует назначать на основании технико-экономического сравнения вариантов  раскрытия выемок и устройства </w:t>
      </w:r>
      <w:r>
        <w:rPr>
          <w:rFonts w:ascii="Times New Roman" w:hAnsi="Times New Roman"/>
          <w:sz w:val="20"/>
        </w:rPr>
        <w:t>снегозащитных сооружений.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Водоотводы и  укрепление откосов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2.4.49. Допускается устройство продольных водоотводных канав вдоль насыпей на расстоянии 5-10 м от их подошв,  но только на участках грунтов I и II категорий термопросадочности  и продольном уклоне местности не более 0,004, с обязательным их укреплением геотекстилем, прикрытым песчано-гравийной смесью (рис. 6.7 приложения 6).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2.4.50. В полосе трассы шириной  по 20-30 м в каждую сторону от оси участки с термокарстовыми озерами, котловинами, с зал</w:t>
      </w:r>
      <w:r>
        <w:rPr>
          <w:rFonts w:ascii="Times New Roman" w:hAnsi="Times New Roman"/>
          <w:sz w:val="20"/>
        </w:rPr>
        <w:t xml:space="preserve">еганием повторно-жильных льдов, бугристо-западинного микрорельефа и другие должны быть засыпаны местным грунтом или торфогрунтовой смесью с уплотнением.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2.4.51. Откосы земляного полотна из мелких или пылеватых песков на неподтопляемых участках укрепляются слоем в 0,1-0,3 м из торфогрунтовой смеси, составом в процентах по объему в разрыхленном состоянии: торфа - 30% и  суглинка - 70% или торфа - 40% и песка - 60%.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2.4.52. При укрепления откосов земляного полотна скальным, щебенистым,  гравийно-галечников</w:t>
      </w:r>
      <w:r>
        <w:rPr>
          <w:rFonts w:ascii="Times New Roman" w:hAnsi="Times New Roman"/>
          <w:sz w:val="20"/>
        </w:rPr>
        <w:t xml:space="preserve">ым или дренирующим грунтом, толщину слоя торфо-грунтовой смеси  назначают не менее 0,5 м в зависимости от состояния и свойств грунтов, слагающих откосы и с учетом технологии укрепительных  работ.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2.4.53. Откосы выемок  в твердомерзлых грунтах следует покрывать защитным слоем талого, сыпучемерзлого или сухомерзлого песчаного грунта толщиной не менее 0,3 м с последующим закреплением торфогрунтовой смесью или геотекстилем.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2.4.54. Для обеспечения  от снегозаносимости  откосы выемок должны быть 1:5-1:6.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</w:t>
      </w:r>
      <w:r>
        <w:rPr>
          <w:rFonts w:ascii="Times New Roman" w:hAnsi="Times New Roman"/>
          <w:sz w:val="20"/>
        </w:rPr>
        <w:t>я укрепления откосов и бровок насыпей и выемок, сложенных мелкими и пылеватыми песками или супесями, следует применять преимущественно геотекстиль, прикрытый сверху дренирующим грунтом или торфо-грунтовой смесью, и посев дикорастущих трав.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2.4.55. Откосы насыпей на участках пересечения  водотоков термокарстовых озер при  расчетной длине  разгона волны более 0,5 км следует укреплять скальным грунтом или железобетонными плитами, укладываемыми с взаимным гибким скреплением по слою геотекстиля, выполняющего ро</w:t>
      </w:r>
      <w:r>
        <w:rPr>
          <w:rFonts w:ascii="Times New Roman" w:hAnsi="Times New Roman"/>
          <w:sz w:val="20"/>
        </w:rPr>
        <w:t>ль обратного фильтра.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2.4.56. При проектировании земляного полотна в населенных районах с заглубленным балластным слоем на грунтах III и IV категорий термопросадочности вдоль зданий и сооружений следует  предусматривать замену грунта на дренирующий с надежным отводом воды из корыта и предотвращения инфильтрации воды в сторону фундаментов зданий и сооружений (рис. 6.16 приложения 6).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2.4.57. При проектировании земляного полотна вдоль наземных и подземных коммуникаций - нефтегазопровода, водопровода, произ</w:t>
      </w:r>
      <w:r>
        <w:rPr>
          <w:rFonts w:ascii="Times New Roman" w:hAnsi="Times New Roman"/>
          <w:sz w:val="20"/>
        </w:rPr>
        <w:t xml:space="preserve">водственных стоков в трубах - следует предусматривать мероприятия по защите земляного полотна от переувлажнения и возможных деформаций  в результате нарушения природного водно-теплового режима.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2.4.58.  Для отвода поверхностной  воды от  земляного полотна, устраиваемого в пределах площадки промышленного  предприятия, а также при высоком стоянии подземных  вод должны  предусматриваться дренажи с продольным уклоном дна  0,5-3% и  укладкой трубчатых дрен (трубофильтров) диаметром не менее 150 мм. При среднем</w:t>
      </w:r>
      <w:r>
        <w:rPr>
          <w:rFonts w:ascii="Times New Roman" w:hAnsi="Times New Roman"/>
          <w:sz w:val="20"/>
        </w:rPr>
        <w:t>есячной  температуре наружного воздуха наиболее холодного месяца ниже 15° следует предусматривать утепление дрены или лотки (рис. 6.13, 6.16 приложения 6).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Верхнее строение пути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2.4.59. При проектировании новых и реконструкции верхних строений пути железобетонные шпалы не укладывать.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2.4.60. Передвижные пути в карьерах следует укладывать со  щебеночным, гравийным, песчаным балластом, гравийно-песчаным и металлургическим шлаком. При этом толщина балластного слоя под шпалой должна быть не менее 20 см.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</w:t>
      </w:r>
      <w:r>
        <w:rPr>
          <w:rFonts w:ascii="Times New Roman" w:hAnsi="Times New Roman"/>
          <w:sz w:val="20"/>
        </w:rPr>
        <w:t>.4.61. При обращении на путях подвижного состава с осевыми нагрузками до 230 кН и объеме перевозок до 10 млн. т брутто в  год следует применять деревянные шпалы II типа, при большем  объеме перевозок -  I типа.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2.4.62. Укладка глухих пересечений допускается только на участках распространения грунтов I и II категорий термопросадочности  и нагрузками свыше 230 кН.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2.4.63. Для постоянных путей, располагаемых на кривых участках радиуса менее 250 м,  со стороны внутренней  рельсовой нити следует предусматриват</w:t>
      </w:r>
      <w:r>
        <w:rPr>
          <w:rFonts w:ascii="Times New Roman" w:hAnsi="Times New Roman"/>
          <w:sz w:val="20"/>
        </w:rPr>
        <w:t xml:space="preserve">ь укладку контррельсов. В кривых радиусом 300 м и менее  в путь укладывать предварительно гнутые рельсы.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Автомобильные дороги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Дорожно-климатические зоны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2.4.64. Дорожно-климатическое районирование территории Западно-Сибирского региона приведено на рис. 6.1 приложения 6.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Северный  район 1-1 характеризуется распространением низкотемпературных (ниже 1,5-2°С) твердомерзлых вечномерзлых грунтов сплошного распространения с относительной влажностью  сезонно-оттаивающего слоя W</w:t>
      </w:r>
      <w:r>
        <w:rPr>
          <w:rFonts w:ascii="Times New Roman" w:hAnsi="Times New Roman"/>
          <w:position w:val="-10"/>
          <w:sz w:val="20"/>
        </w:rPr>
        <w:pict>
          <v:shape id="_x0000_i1046" type="#_x0000_t75" style="width:17.25pt;height:15.75pt">
            <v:imagedata r:id="rId18" o:title=""/>
          </v:shape>
        </w:pict>
      </w:r>
      <w:r>
        <w:rPr>
          <w:rFonts w:ascii="Times New Roman" w:hAnsi="Times New Roman"/>
          <w:sz w:val="20"/>
        </w:rPr>
        <w:t xml:space="preserve"> &gt; 1,0. Южный район 1-3 слож</w:t>
      </w:r>
      <w:r>
        <w:rPr>
          <w:rFonts w:ascii="Times New Roman" w:hAnsi="Times New Roman"/>
          <w:sz w:val="20"/>
        </w:rPr>
        <w:t xml:space="preserve">ен высокотемпературными (выше 1,5-2°С) вечномерзлыми  грунтами сплошного  и островного распространения. 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2.4.65. Тип местности  по характеру поверхностного стока, степени увлажнения и мерзлотно-грунтовым условиям  следует определять по данным инженерно-геологических (геокриологических) изысканий (табл. 6.5 приложения 6).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Земляное полотно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2.4.66. Высоту насыпи определяют расчетами  на устойчивость, снегозаносимость и  прочность по СНиП  2.05.02-85, СНиП II-18-76 и ВСН 46-83.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случае сооружения насыпей</w:t>
      </w:r>
      <w:r>
        <w:rPr>
          <w:rFonts w:ascii="Times New Roman" w:hAnsi="Times New Roman"/>
          <w:sz w:val="20"/>
        </w:rPr>
        <w:t xml:space="preserve"> из песчаных грунтов без теплоизоляции насыпи вычисляют по табл. 6.6 приложения  6, а с теплоизолирующими  слоями расчетом по ВСН 84-75.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2.4.67. Конструкции  земляного полотна автомобильных дорог следует проектировать с соблюдением особых требований по профилям рис.  6.11-6.12 приложения 6, а в пределах застраиваемой территории по профилям рис. 6.13-6.16 приложения 6. 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2.4.68. Строительная осадка основания автодорожной  насыпи высотой до 2 м определяется по табл. 2.4.8 при летней отсыпке на проектную выс</w:t>
      </w:r>
      <w:r>
        <w:rPr>
          <w:rFonts w:ascii="Times New Roman" w:hAnsi="Times New Roman"/>
          <w:sz w:val="20"/>
        </w:rPr>
        <w:t>оту; при зимней  отсыпке насыпей на проектную высоту табличные данные могут быть снижены на 20%, величину обжатия мохорастительного покрова следует принимать равной 50% от  первоначальной толщины, мохоторфяного слоя  - 40% от расчетной глубины его оттаивания.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2.4.69. Отвод поверхностных и грунтовых надмерзлотных вод производится канавами. В равнинной и слабо пересеченной местности при I-II категории термопросадочности грунтов канавы можно располагать в 5-10 м от подошвы насыпи, а III - не менее 10 м; на гр</w:t>
      </w:r>
      <w:r>
        <w:rPr>
          <w:rFonts w:ascii="Times New Roman" w:hAnsi="Times New Roman"/>
          <w:sz w:val="20"/>
        </w:rPr>
        <w:t xml:space="preserve">унтах IV и V категорий термопросадочности водоотводные и нагорные канавы устраивать не разрешается.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Требования к грунтам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2.4.70. По степени термопросадочности грунты основания земляного полотна автомобильных  дорог разделяются на 5 категорий, табл. 6.9 приложения 6.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Льдистость грунта определяется отношением объема  прослоек льда к объему  мерзлого грунта с учетом включений льда в долях единицах.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2.4.71. Допустимую относительную влажность грунтов для сооружения земляного полотна при  требуемом коэффици</w:t>
      </w:r>
      <w:r>
        <w:rPr>
          <w:rFonts w:ascii="Times New Roman" w:hAnsi="Times New Roman"/>
          <w:sz w:val="20"/>
        </w:rPr>
        <w:t xml:space="preserve">енте уплотнения следует  определять по табл. 6.10 приложения 6. Оптимальную влажность  следует принимать для супеси  легкой - 0,7 от влажности  на границе текучести, суглинка - 0,6, суглинка тяжелого и глины - 0,55.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2.4.72. Допускается использовать в нижнюю часть насыпи  высокой степени переувлажненные супеси до 1,5 W</w:t>
      </w:r>
      <w:r>
        <w:rPr>
          <w:rFonts w:ascii="Times New Roman" w:hAnsi="Times New Roman"/>
          <w:position w:val="-10"/>
          <w:sz w:val="20"/>
        </w:rPr>
        <w:pict>
          <v:shape id="_x0000_i1047" type="#_x0000_t75" style="width:9pt;height:15.75pt">
            <v:imagedata r:id="rId19" o:title=""/>
          </v:shape>
        </w:pict>
      </w:r>
      <w:r>
        <w:rPr>
          <w:rFonts w:ascii="Times New Roman" w:hAnsi="Times New Roman"/>
          <w:sz w:val="20"/>
        </w:rPr>
        <w:t>, суглинки легкие до 1,45 W</w:t>
      </w:r>
      <w:r>
        <w:rPr>
          <w:rFonts w:ascii="Times New Roman" w:hAnsi="Times New Roman"/>
          <w:position w:val="-10"/>
          <w:sz w:val="20"/>
        </w:rPr>
        <w:pict>
          <v:shape id="_x0000_i1048" type="#_x0000_t75" style="width:9pt;height:15.75pt">
            <v:imagedata r:id="rId19" o:title=""/>
          </v:shape>
        </w:pict>
      </w:r>
      <w:r>
        <w:rPr>
          <w:rFonts w:ascii="Times New Roman" w:hAnsi="Times New Roman"/>
          <w:sz w:val="20"/>
        </w:rPr>
        <w:t xml:space="preserve">  и суглинки тяжелые и глины до 1,5 W</w:t>
      </w:r>
      <w:r>
        <w:rPr>
          <w:rFonts w:ascii="Times New Roman" w:hAnsi="Times New Roman"/>
          <w:position w:val="-10"/>
          <w:sz w:val="20"/>
        </w:rPr>
        <w:pict>
          <v:shape id="_x0000_i1049" type="#_x0000_t75" style="width:9pt;height:15.75pt">
            <v:imagedata r:id="rId19" o:title=""/>
          </v:shape>
        </w:pict>
      </w:r>
      <w:r>
        <w:rPr>
          <w:rFonts w:ascii="Times New Roman" w:hAnsi="Times New Roman"/>
          <w:sz w:val="20"/>
        </w:rPr>
        <w:t xml:space="preserve"> при условии сохранения их в промороженном состоянии на весь период эксплуатации дороги.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Влажность торфов, используемых  в </w:t>
      </w:r>
      <w:r>
        <w:rPr>
          <w:rFonts w:ascii="Times New Roman" w:hAnsi="Times New Roman"/>
          <w:sz w:val="20"/>
        </w:rPr>
        <w:t>нижнюю часть насыпи и на откосы, должна быть не более 600%.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 Дорожные одежды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2.4.73. Дорожные одежды следует проектировать, руководствуясь положениями  СНиП 2.05.02-85 и СНиП II 2.05.07-85 с учетом требований настоящих норм.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Следует применять преимущественно дорожные одежды со следующими типами  покрытий: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цементобетонные (монолитные и сборные);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армобетонные (монолитные);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железобетонные  (монолитные  и сборные);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асфальтобетонные;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из щебня, обработанного битумом или битумной эмульсией методом смеше</w:t>
      </w:r>
      <w:r>
        <w:rPr>
          <w:rFonts w:ascii="Times New Roman" w:hAnsi="Times New Roman"/>
          <w:sz w:val="20"/>
        </w:rPr>
        <w:t>ния в установке, методом пропитки с устройством поверхностной обработки;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из гравийно-песчаных  и щебеночно-песчаных смесей, обработанных органическими или неорганическими вяжущими методом смешения в установке или на дороге с устройством поверхностной обработки;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щебеночные (гравийные), обработанные в верхней части пескоцементной смесью, белитовым шламом, высокоактивным  либо активным гранулированным шлаком с поверхностной обработкой;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из гравийно-песчаных, щебеночно-песчаных смесей, малопрочных каменных м</w:t>
      </w:r>
      <w:r>
        <w:rPr>
          <w:rFonts w:ascii="Times New Roman" w:hAnsi="Times New Roman"/>
          <w:sz w:val="20"/>
        </w:rPr>
        <w:t xml:space="preserve">атериалов, отходов камнедробления, отходов горнорудных предприятий, металлургических шлаков, белитового шлама и т.п. материалов.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2.4.74. Армобетонные и цементобетонные покрытия (монолитные) надлежит применять на внутренних автомобильных дорогах общего пользования и подъездных  промышленных предприятий I-В, II-В, II-К и I-Л категорий.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2.4.75. Сборным железобетонным покрытиям следует отдавать предпочтение на автомобильных дорогах всех категорий в районах с дефицитом каменных материалов, а также в сложных г</w:t>
      </w:r>
      <w:r>
        <w:rPr>
          <w:rFonts w:ascii="Times New Roman" w:hAnsi="Times New Roman"/>
          <w:sz w:val="20"/>
        </w:rPr>
        <w:t>рунтово-гидрогеологических условиях, где трудно обеспечить стабильность земляного полотна. Сборные покрытия из предварительно напряженных железобетонных плит необходимо проектировать, когда предусматривают двухстадийное строительство дорожной одежды.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этом на первой стадии предпочтение следует отдавать устройству  переходных покрытий из материалов, обладающих способностью омоноличиваться и пропускать движение  сразу же после их уплотнения (белитовый шлам и укрепленные им каменные материалы, а также высо</w:t>
      </w:r>
      <w:r>
        <w:rPr>
          <w:rFonts w:ascii="Times New Roman" w:hAnsi="Times New Roman"/>
          <w:sz w:val="20"/>
        </w:rPr>
        <w:t>коактивные и активные доменные шлаки).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Сборные покрытия из ненапряженных железобетонных плит надлежит применять только на участках с автомобильным движением небольшой интенсивности.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2.4.76. Переходные покрытия из белитового шлама должны иметь защитный   слой толщиной  3-5 см из отходов камнедробления, дресвы и т.п. материалов.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второй стадии переходные покрытия с учетом их эксплуатационного состояния могут быть использованы в качестве основания под сборные железобетонные или  асфальтобетонные покрытия.</w:t>
      </w:r>
      <w:r>
        <w:rPr>
          <w:rFonts w:ascii="Times New Roman" w:hAnsi="Times New Roman"/>
          <w:sz w:val="20"/>
        </w:rPr>
        <w:t xml:space="preserve">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2.4.77. Основания дорожных одежд проектируют: цементобетонные (монолитные и сборные); асфальтобетонные (из высокопористого асфальтобетона); из щебеночных, гравийных, песчаных материалов (каменных материалов) и отходов промышленности, необработанных и обработанных неорганическими и органическими вяжущими  материалами; из крупнообломочных, песчаных и глинистых грунтов, укрепленных неорганическими и органическими вяжущими материалами:  щебеночные (гравийные), обработанные в верхней части пескоцементной смес</w:t>
      </w:r>
      <w:r>
        <w:rPr>
          <w:rFonts w:ascii="Times New Roman" w:hAnsi="Times New Roman"/>
          <w:sz w:val="20"/>
        </w:rPr>
        <w:t>ью, белитовым  шламом, высокоактивным либо активным гранулированным шлаком.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2.4.78. В необходимых случаях следует проектировать дополнительные слои оснований из песка, гравия, геотекстиля, отходов промышленности и др. материалов. В зависимости от конкретных условий дополнительный слой может быть тепло- или гидроизолирующим, морозозащитным, дренирующим, капилляропрерывающим или выравнивающим.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2.4.79. Для обеспечения  контакта плит сборных покрытий с основанием из укрепленных  материалов необходимо предусм</w:t>
      </w:r>
      <w:r>
        <w:rPr>
          <w:rFonts w:ascii="Times New Roman" w:hAnsi="Times New Roman"/>
          <w:sz w:val="20"/>
        </w:rPr>
        <w:t xml:space="preserve">отреть выравнивающий слой толщиной до 5 см из смеси песка с цементом (в соотношении  8:1 по массе) или из белитового шлама.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основаниях из неукрепленных  материалов допускается выравнивающий  слой  предусматривать из песка с укладкой поверх его геотекстиля.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поверхность неукрепленного  песчаного основания дорог III-В, IV-В, III-Л и IV-Л категорий разрешается  укладывать полосы геотекстиля шириной не менее 75 см в местах расположения продольных и поперечных  швов сборного покрытия.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дорогах II-В, </w:t>
      </w:r>
      <w:r>
        <w:rPr>
          <w:rFonts w:ascii="Times New Roman" w:hAnsi="Times New Roman"/>
          <w:sz w:val="20"/>
        </w:rPr>
        <w:t xml:space="preserve">II-К, I-Л категории со сборным покрытием допускается  предусматривать песчаное основание в обойме из геотекстиля. При этом толщина слоя песка, заключенного в обойму, должна быть не менее 30 см.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2.4.80. Толщину асфальтобетонного покрытия на основании из материалов, укрепленных неорганическими вяжущими, а также на сборном основании из железобетонных плит следует принимать не менее 10 см. При этом в местах расположения швов сборного основания необходимо предусматривать укладку геотекстиля или сетку из стекло</w:t>
      </w:r>
      <w:r>
        <w:rPr>
          <w:rFonts w:ascii="Times New Roman" w:hAnsi="Times New Roman"/>
          <w:sz w:val="20"/>
        </w:rPr>
        <w:t>волокна шириной 0,75-1 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2.4.81. При обработке верхней части слоя из щебня или гравия белитовым шламом  ориентировочные расчетные значения модуля упругости следует принимать по табл. 2.4.1 в зависимости от глубины обрабатываемого слоя.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2.4.1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835"/>
        <w:gridCol w:w="2835"/>
        <w:gridCol w:w="28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Глубина обработанной части в долях от общей толщины слоя </w:t>
            </w:r>
          </w:p>
        </w:tc>
        <w:tc>
          <w:tcPr>
            <w:tcW w:w="5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Модуль упругости, МПа, обработанного верхней части слоя из 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щебня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гравия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350-400 </w:t>
            </w:r>
          </w:p>
        </w:tc>
        <w:tc>
          <w:tcPr>
            <w:tcW w:w="285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450-500 </w:t>
            </w:r>
          </w:p>
        </w:tc>
        <w:tc>
          <w:tcPr>
            <w:tcW w:w="285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550-600 </w:t>
            </w:r>
          </w:p>
        </w:tc>
        <w:tc>
          <w:tcPr>
            <w:tcW w:w="285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410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Большие значения модуля принимают при обр</w:t>
      </w:r>
      <w:r>
        <w:rPr>
          <w:rFonts w:ascii="Times New Roman" w:hAnsi="Times New Roman"/>
          <w:sz w:val="20"/>
        </w:rPr>
        <w:t>аботке щебня карбонатных пород 1-3 классов прочности, меньшие  - щебня прочих пород 1-3 классов и карбонатных 4 класса прочности.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Материалы для покрытий и искусственных оснований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2.4.82. Материалы для устройства дорожных покрытий, оснований и дополнительных слоев оснований  должны удовлетворять требованиям соответствующих ГОСТ, СНиП и технических условий, а  также требованиям настоящих норм.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2.4.83. Для обеспечения требуемой морозостойкости дорожного бетона в условиях Севера следует принимать цементы вы</w:t>
      </w:r>
      <w:r>
        <w:rPr>
          <w:rFonts w:ascii="Times New Roman" w:hAnsi="Times New Roman"/>
          <w:sz w:val="20"/>
        </w:rPr>
        <w:t xml:space="preserve">соких марок при обязательном использовании воздухововлекающих добавок (абиетат натрия, мылонафт, асидол-мылонафт и др.).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приготовления цементнобетонной смеси при устройстве монолитных покрытий и оснований применяют крупные, средние и мелкие пески с содержанием зерен размером менее 0,14 мм не более 10%.  Допускается  при соответствующем технико-экономическом обосновании использовать пески (в том числе и очень мелкие) с содержанием зерен  размером менее 0,14 мм в количестве не более 20% массы песка. При</w:t>
      </w:r>
      <w:r>
        <w:rPr>
          <w:rFonts w:ascii="Times New Roman" w:hAnsi="Times New Roman"/>
          <w:sz w:val="20"/>
        </w:rPr>
        <w:t xml:space="preserve"> этом в составе бетонной смеси необходимо применять комплексные (пластифицирующие и воздухововлекающие или газообразующие добавки поверхностно-активных веществ (ПАВ).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2.4.84. Для устройства однослойных и верхних слоев двухслойных асфальтобетонных покрытий в I-III  подзонах предпочтение надлежит отдавать смесям с более плотным составом, содержащим меньше щебня.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автомобильных дорогах II-в,  III-в,  IV-в, III-к,  II-л,  III-л категорий в этих подзонах целесообразно применять в качестве вяжущего битумные </w:t>
      </w:r>
      <w:r>
        <w:rPr>
          <w:rFonts w:ascii="Times New Roman" w:hAnsi="Times New Roman"/>
          <w:sz w:val="20"/>
        </w:rPr>
        <w:t xml:space="preserve">эмульсии. 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2.4.85. В III и IV подзонах со значительной продолжительностью теплового периода на дорогах II-В,  III-В, II-Л, III-Л категорий при стадийном строительстве допускается устраивать покрытия из холодных асфальтобетонных смесей,  приготовленных по способу смешения на дороге  с использованием битумов марок СГ 70/130, МГ  70/130; СГ 40/70 и МГ 40/70.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2.4.86. На покрытиях, устроенных по способу смешения на дороге и пропитки, следует предусматривать поверхностную обработку с использованием битумов мар</w:t>
      </w:r>
      <w:r>
        <w:rPr>
          <w:rFonts w:ascii="Times New Roman" w:hAnsi="Times New Roman"/>
          <w:sz w:val="20"/>
        </w:rPr>
        <w:t xml:space="preserve">ок БДН 130/200 и БНД 200/300 и прямых средне- и быстрораспадающихся  катионных битумных эмульсий.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2.4.87. В составе асфальтобетонных смесей, применяемых для устройства покрытий, необходимо использовать ПАВ и активаторы в соответствии с ВСН 59-68.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2.4.88. Каменные  материалы, крупнообломочные и песчаные грунты, укрепленные белитовым шламом, используемые для устройства оснований и покрытий, по показателям  физико-механических свойств образцов после 90 суток нормального твердения должны отвечать требованиям</w:t>
      </w:r>
      <w:r>
        <w:rPr>
          <w:rFonts w:ascii="Times New Roman" w:hAnsi="Times New Roman"/>
          <w:sz w:val="20"/>
        </w:rPr>
        <w:t xml:space="preserve"> СНиП 2.05.02-85. Морозостойкость белитового  шлама и укрепленных им материалов не нормируется вследствие наличия  у шлама способности к гидратации и набору прочности в течение нескольких лет; снижение прочности материала от морозного воздействия компенсируется нарастанием прочности в теплый период года.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2.5. Селитебная зона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2.5.1. В проектах планировки и застройки городов и поселков следует предусматривать: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рациональное взаиморазмещение селитебных, промышленных и транспортных территорий, обеспечение  </w:t>
      </w:r>
      <w:r>
        <w:rPr>
          <w:rFonts w:ascii="Times New Roman" w:hAnsi="Times New Roman"/>
          <w:sz w:val="20"/>
        </w:rPr>
        <w:t xml:space="preserve">комфортных условий труда и проживания;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застройку микрорайонов градостроительными  комплексами;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создание композиционно-завершенных по этапам строительства ансамблей жилой и общественной застройки (улицы, площади, набережные);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органическую связь архитектурно-планировочных решений районов застраиваемых 1-2 этажными домами с районами многоэтажной застройки.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2.5.2. Планировочную организацию селитебных территорий следует предусматривать с учетом величины населенных пунктов, условий формирования новой и сложи</w:t>
      </w:r>
      <w:r>
        <w:rPr>
          <w:rFonts w:ascii="Times New Roman" w:hAnsi="Times New Roman"/>
          <w:sz w:val="20"/>
        </w:rPr>
        <w:t>вшейся жилой застройки, этажности применяемых жилых зданий, размещения общественных центров, природных и других местных особенностей.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Селитебные территории (селитебные планировочные районы) следует членить, как правило, на жилые районы площадью не более 250 га и микрорайоны.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малых городах, как правило, следует предусматривать микрорайоны и группы жилых домов, а в городах с населением до 20 тыс. чел. при компактном планировочном решении допускается единая планировочная организация селитебной территории.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Селитебные территории вахтовых поселков следует предусматривать в виде единого планировочного образования с выделением только участков жилой застройки и общественного центра.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2.5.3. Размеры жилых районов и микрорайонов следует устанавливать в зависимости от величины города, этажности жилых зданий и других местных условий; следует принимать численность населения, как правило: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в жилых районах - 15-80 тыс. чел. при обеспечении доступности основных объектов обслуживания районного значения: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подрайоне IД </w:t>
      </w:r>
      <w:r>
        <w:rPr>
          <w:rFonts w:ascii="Times New Roman" w:hAnsi="Times New Roman"/>
          <w:sz w:val="20"/>
        </w:rPr>
        <w:t>до 1200 м,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подрайоне IГ до 1000 м;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в микрорайонах от 3 до 20 тыс. чел. при обеспечении доступности учреждений повседневного обслуживания: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подрайоне IД до 350 м,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подрайоне IГ до 300 м;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в жилых группах (жилых комплексах) - от 1,5 до 5 тыс. человек при обеспечении доступности учреждений и помещений приближенного обслуживания (помещения для самостоятельного труда и творчества, помещения для физкультуры, присмотра  за детьми, бюро доставки услуг, стол заказов, самодеятельные прачечные и химчистки)</w:t>
      </w:r>
      <w:r>
        <w:rPr>
          <w:rFonts w:ascii="Times New Roman" w:hAnsi="Times New Roman"/>
          <w:sz w:val="20"/>
        </w:rPr>
        <w:t>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подрайоне IД до 250  м,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подрайоне IГ до 200 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2.5.4. Нормативы по жилищной обеспеченности следует принимать по табл. 2.5.1.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2.5.1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665"/>
        <w:gridCol w:w="1312"/>
        <w:gridCol w:w="1418"/>
        <w:gridCol w:w="1275"/>
        <w:gridCol w:w="1418"/>
        <w:gridCol w:w="12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6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Тип жилья </w:t>
            </w:r>
          </w:p>
        </w:tc>
        <w:tc>
          <w:tcPr>
            <w:tcW w:w="2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Капитальное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96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Мобильное (инвентарное)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квартирного типа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гостиничного типа, общежития 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квартирного типа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гостиничного типа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общежития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Норма жилищной обеспеченности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312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х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18.0-20.0 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12.0 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15.0 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9.0 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6.0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Норматив принимается исходя из номенклатуры жилых зданий, применяемых для застройки при условии посемейного ра</w:t>
      </w:r>
      <w:r>
        <w:rPr>
          <w:rFonts w:ascii="Times New Roman" w:hAnsi="Times New Roman"/>
          <w:sz w:val="20"/>
        </w:rPr>
        <w:t>сселения населения и санитарно-гигиенических требований.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2.5.5. Укрупненные размеры селитебной территории следует определять  по таблице 2.5.2.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2.5.2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835"/>
        <w:gridCol w:w="2835"/>
        <w:gridCol w:w="2835"/>
        <w:gridCol w:w="1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Капитальные жилые здания с количеством этажей </w:t>
            </w:r>
          </w:p>
        </w:tc>
        <w:tc>
          <w:tcPr>
            <w:tcW w:w="56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Размеры селитебной территории, га на 1000 чел. подрайон IД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первую очередь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расчетный срок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 5-7 </w:t>
            </w:r>
          </w:p>
        </w:tc>
        <w:tc>
          <w:tcPr>
            <w:tcW w:w="283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8,5-9,0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 5-5 </w:t>
            </w: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5,0-6,0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4,0 </w:t>
            </w:r>
          </w:p>
        </w:tc>
        <w:tc>
          <w:tcPr>
            <w:tcW w:w="283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5,0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 1. Размеры селитебной территории  для населенных мест, расположенных в подрайоне IГ допускается уменьшать не более чем</w:t>
      </w:r>
      <w:r>
        <w:rPr>
          <w:rFonts w:ascii="Times New Roman" w:hAnsi="Times New Roman"/>
          <w:sz w:val="20"/>
        </w:rPr>
        <w:t xml:space="preserve"> на 20%.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Размеры селитебной территории для вахтовых поселков следует принимать из расчета: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поселках до 300 чел. - 70-80 м</w:t>
      </w:r>
      <w:r>
        <w:rPr>
          <w:rFonts w:ascii="Times New Roman" w:hAnsi="Times New Roman"/>
          <w:position w:val="-4"/>
          <w:sz w:val="20"/>
        </w:rPr>
        <w:pict>
          <v:shape id="_x0000_i1050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/чел.,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поселках свыше 300 чел. - 40-60 м</w:t>
      </w:r>
      <w:r>
        <w:rPr>
          <w:rFonts w:ascii="Times New Roman" w:hAnsi="Times New Roman"/>
          <w:position w:val="-4"/>
          <w:sz w:val="20"/>
        </w:rPr>
        <w:pict>
          <v:shape id="_x0000_i1051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/чел.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Общественные центры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2.5.6. При определении территории общественного центра жилого района размеры участков отдельных функциональных зон следует  принимать по табл. 2.5.3.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Примечание: При застройке жилыми зданиями высотой более  5 этажей следует предусматривать кооперацию и совмещение функций учреждений и предприятий обслуживани</w:t>
      </w:r>
      <w:r>
        <w:rPr>
          <w:rFonts w:ascii="Times New Roman" w:hAnsi="Times New Roman"/>
          <w:sz w:val="20"/>
        </w:rPr>
        <w:t>я микрорайонов и жилых районов при выполнении требований пешеходной доступности.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2.5.3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260"/>
        <w:gridCol w:w="36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Земельные участки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Удельные размеры земельных участков функциональных зон, 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52" type="#_x0000_t75" style="width:9pt;height:17.25pt">
                  <v:imagedata r:id="rId14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на 1 чел., подрайон IГ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Учреждений и предприятий обслуживания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69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Зеленые насаждения общего пользования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69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Спортивных сооружений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69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Площадок для стоянки автомобилей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69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 к таблице: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подрайоне IД допускается увеличивать размеры земельных участков общественных центров до 30% суммарной величины  вхо</w:t>
      </w:r>
      <w:r>
        <w:rPr>
          <w:rFonts w:ascii="Times New Roman" w:hAnsi="Times New Roman"/>
          <w:sz w:val="20"/>
        </w:rPr>
        <w:t xml:space="preserve">дящих в эти центры  участков учреждений и предприятий обслуживания.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2.5.7. В вахтовых поселках следует предусматривать единый компактный  общественный центр с радиусом доступности не более 300 м, состав и архитектурно-пространственная организация которого должна учитывать величину поселка и  срок его эксплуатации.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2.5.8. Размер участков общественных центров вахтовых поселков следует принимать, исходя из нормы 12-15 м</w:t>
      </w:r>
      <w:r>
        <w:rPr>
          <w:rFonts w:ascii="Times New Roman" w:hAnsi="Times New Roman"/>
          <w:position w:val="-4"/>
          <w:sz w:val="20"/>
        </w:rPr>
        <w:pict>
          <v:shape id="_x0000_i1053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на чел. для подрайона IД и 8-10 м</w:t>
      </w:r>
      <w:r>
        <w:rPr>
          <w:rFonts w:ascii="Times New Roman" w:hAnsi="Times New Roman"/>
          <w:position w:val="-4"/>
          <w:sz w:val="20"/>
        </w:rPr>
        <w:pict>
          <v:shape id="_x0000_i1054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на чел. для подрайона IГ.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Планировка и застройка жи</w:t>
      </w:r>
      <w:r>
        <w:rPr>
          <w:rFonts w:ascii="Times New Roman" w:hAnsi="Times New Roman"/>
          <w:sz w:val="20"/>
        </w:rPr>
        <w:t>лых районов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 микрорайонов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2.5.9. Расчетную плотность жилого фонда микрорайона (брутто) в городах и ПГТ на I очередь строительства следует принимать не менее приведенной в таблице 2.5.4.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2.5.4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855"/>
        <w:gridCol w:w="1140"/>
        <w:gridCol w:w="855"/>
        <w:gridCol w:w="855"/>
        <w:gridCol w:w="690"/>
        <w:gridCol w:w="715"/>
        <w:gridCol w:w="751"/>
        <w:gridCol w:w="1021"/>
        <w:gridCol w:w="633"/>
        <w:gridCol w:w="84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район </w:t>
            </w:r>
          </w:p>
        </w:tc>
        <w:tc>
          <w:tcPr>
            <w:tcW w:w="7509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Плотность жилого фонда, 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55" type="#_x0000_t75" style="width:9pt;height:17.25pt">
                  <v:imagedata r:id="rId14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общей площади на га территории микрорайона при средней этажности застройки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 этаж. дерев.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10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IГ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4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5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4300 </w:t>
            </w:r>
          </w:p>
        </w:tc>
        <w:tc>
          <w:tcPr>
            <w:tcW w:w="85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5400 </w:t>
            </w:r>
          </w:p>
        </w:tc>
        <w:tc>
          <w:tcPr>
            <w:tcW w:w="69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6300 </w:t>
            </w:r>
          </w:p>
        </w:tc>
        <w:tc>
          <w:tcPr>
            <w:tcW w:w="71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7000 </w:t>
            </w:r>
          </w:p>
        </w:tc>
        <w:tc>
          <w:tcPr>
            <w:tcW w:w="751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7500 </w:t>
            </w:r>
          </w:p>
        </w:tc>
        <w:tc>
          <w:tcPr>
            <w:tcW w:w="1021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7900 </w:t>
            </w:r>
          </w:p>
        </w:tc>
        <w:tc>
          <w:tcPr>
            <w:tcW w:w="633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8300 </w:t>
            </w:r>
          </w:p>
        </w:tc>
        <w:tc>
          <w:tcPr>
            <w:tcW w:w="847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IД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4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2700 </w:t>
            </w:r>
          </w:p>
        </w:tc>
        <w:tc>
          <w:tcPr>
            <w:tcW w:w="85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4100 </w:t>
            </w:r>
          </w:p>
        </w:tc>
        <w:tc>
          <w:tcPr>
            <w:tcW w:w="85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5200 </w:t>
            </w:r>
          </w:p>
        </w:tc>
        <w:tc>
          <w:tcPr>
            <w:tcW w:w="69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6100 </w:t>
            </w:r>
          </w:p>
        </w:tc>
        <w:tc>
          <w:tcPr>
            <w:tcW w:w="71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6700 </w:t>
            </w:r>
          </w:p>
        </w:tc>
        <w:tc>
          <w:tcPr>
            <w:tcW w:w="751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7200 </w:t>
            </w:r>
          </w:p>
        </w:tc>
        <w:tc>
          <w:tcPr>
            <w:tcW w:w="1021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7600 </w:t>
            </w:r>
          </w:p>
        </w:tc>
        <w:tc>
          <w:tcPr>
            <w:tcW w:w="633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8100 </w:t>
            </w:r>
          </w:p>
        </w:tc>
        <w:tc>
          <w:tcPr>
            <w:tcW w:w="847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8300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Границы расчетной территории микрорайона устанавливаются по красным линиям магистральных и жилых  улиц, по осям проездов или  пешеходных путей, по естественным рубежам,  при отсутствии  четко выраженных рубежей - на расстоянии не менее 3 м от линии застройки.  Из расчетной территории микрорайона исключаются площади размещенных на ней участков объектов районного и общегородского значения, а также части участков объектов микрорайонного значения, соответствующие количеству обслуживаемого ими на</w:t>
      </w:r>
      <w:r>
        <w:rPr>
          <w:rFonts w:ascii="Times New Roman" w:hAnsi="Times New Roman"/>
          <w:sz w:val="20"/>
        </w:rPr>
        <w:t>селения смежных микрорайонов (с включением в расчетную территорию последних).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Удельные размеры элементов  территории микрорайона приведены в приложении 7.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Указанные в таблице нормы плотности жилого фонда приведены из условий застройки жилыми зданиями, в которых отношение общей площади к жилой составляет 1,65. При застройке зданиями, в которых отношение общей площади к жилой составляет 1,75, приведенные в таблице нормы плотности следует увеличивать на 5%.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Графа "2-х этажные деревянные здания" пр</w:t>
      </w:r>
      <w:r>
        <w:rPr>
          <w:rFonts w:ascii="Times New Roman" w:hAnsi="Times New Roman"/>
          <w:sz w:val="20"/>
        </w:rPr>
        <w:t>иведена для зданий III  степени огнестойкости.  В случае применения  зданий IV и V степени огнестойкости допускается уменьшение плотности жилого фонда на 10%.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5. При застройке на заселенных территориях, где представляется возможность сохранения зелени во дворах, плотность застройки допускается понижать на 10-15%.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При использовании наружной прокладки инженерных сетей внутри микрорайона плотность застройки допускается уменьшать до 15%.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2.5.10. Суммарную площадь зеленых насаждений на территории микрорай</w:t>
      </w:r>
      <w:r>
        <w:rPr>
          <w:rFonts w:ascii="Times New Roman" w:hAnsi="Times New Roman"/>
          <w:sz w:val="20"/>
        </w:rPr>
        <w:t>онов следует принимать не менее: для климатического подрайона IГ - не менее 3 м</w:t>
      </w:r>
      <w:r>
        <w:rPr>
          <w:rFonts w:ascii="Times New Roman" w:hAnsi="Times New Roman"/>
          <w:position w:val="-4"/>
          <w:sz w:val="20"/>
        </w:rPr>
        <w:pict>
          <v:shape id="_x0000_i1056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на 1 чел., для климатического подрайона IД - не менее 5 м</w:t>
      </w:r>
      <w:r>
        <w:rPr>
          <w:rFonts w:ascii="Times New Roman" w:hAnsi="Times New Roman"/>
          <w:position w:val="-4"/>
          <w:sz w:val="20"/>
        </w:rPr>
        <w:pict>
          <v:shape id="_x0000_i1057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на 1 чел.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2.5.11. Плотность жилого фонда жилого района (брутто) в городах и ПГТ следует принимать не менее приведенной в таблице 2.5.5.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2.5.5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930"/>
        <w:gridCol w:w="960"/>
        <w:gridCol w:w="960"/>
        <w:gridCol w:w="960"/>
        <w:gridCol w:w="960"/>
        <w:gridCol w:w="960"/>
        <w:gridCol w:w="960"/>
        <w:gridCol w:w="960"/>
        <w:gridCol w:w="945"/>
        <w:gridCol w:w="15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93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районы </w:t>
            </w:r>
          </w:p>
        </w:tc>
        <w:tc>
          <w:tcPr>
            <w:tcW w:w="7665" w:type="dxa"/>
            <w:gridSpan w:val="8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Плотность жилого фонда, 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58" type="#_x0000_t75" style="width:9pt;height:17.25pt">
                  <v:imagedata r:id="rId14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общей площади на 1 га территории  жилого района, при застройке жилыми зданиями с количеством этажей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9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9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9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9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9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960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IГ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3100 </w:t>
            </w:r>
          </w:p>
        </w:tc>
        <w:tc>
          <w:tcPr>
            <w:tcW w:w="96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3700 </w:t>
            </w:r>
          </w:p>
        </w:tc>
        <w:tc>
          <w:tcPr>
            <w:tcW w:w="96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4150 </w:t>
            </w:r>
          </w:p>
        </w:tc>
        <w:tc>
          <w:tcPr>
            <w:tcW w:w="96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4500 </w:t>
            </w:r>
          </w:p>
        </w:tc>
        <w:tc>
          <w:tcPr>
            <w:tcW w:w="96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4750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6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4900 </w:t>
            </w:r>
          </w:p>
        </w:tc>
        <w:tc>
          <w:tcPr>
            <w:tcW w:w="96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5100 </w:t>
            </w:r>
          </w:p>
        </w:tc>
        <w:tc>
          <w:tcPr>
            <w:tcW w:w="960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IД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2900 </w:t>
            </w:r>
          </w:p>
        </w:tc>
        <w:tc>
          <w:tcPr>
            <w:tcW w:w="96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3450 </w:t>
            </w:r>
          </w:p>
        </w:tc>
        <w:tc>
          <w:tcPr>
            <w:tcW w:w="96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3900 </w:t>
            </w:r>
          </w:p>
        </w:tc>
        <w:tc>
          <w:tcPr>
            <w:tcW w:w="96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4250 </w:t>
            </w:r>
          </w:p>
        </w:tc>
        <w:tc>
          <w:tcPr>
            <w:tcW w:w="96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4500 </w:t>
            </w:r>
          </w:p>
        </w:tc>
        <w:tc>
          <w:tcPr>
            <w:tcW w:w="96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4650 </w:t>
            </w:r>
          </w:p>
        </w:tc>
        <w:tc>
          <w:tcPr>
            <w:tcW w:w="96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4900 </w:t>
            </w:r>
          </w:p>
        </w:tc>
        <w:tc>
          <w:tcPr>
            <w:tcW w:w="960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5000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 1.  Границы расчетной территории жилого района следует устанавливать по красным линиям магистральных улиц,  осям улиц районного значения и другим искусственным и естественным рубежам. Из расчетной территории жилого района исключаются  площади участков, размещенных на ней объектов общегородского  значения.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Удельные размеры элементов территории жилых  районов (м</w:t>
      </w:r>
      <w:r>
        <w:rPr>
          <w:rFonts w:ascii="Times New Roman" w:hAnsi="Times New Roman"/>
          <w:position w:val="-4"/>
          <w:sz w:val="20"/>
        </w:rPr>
        <w:pict>
          <v:shape id="_x0000_i1059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на 1 чел.) приведены в приложении.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Указан</w:t>
      </w:r>
      <w:r>
        <w:rPr>
          <w:rFonts w:ascii="Times New Roman" w:hAnsi="Times New Roman"/>
          <w:sz w:val="20"/>
        </w:rPr>
        <w:t>ные в таблице нормы  плотности жилого фонда приведены из условия застройки жилыми зданиями, в которых отношение общей площади к жилой составляет 1,65.  При застройке зданиями, в которых отношение общей площади к жилой составляет 1,75, приведенные в таблице нормы плотности жилого фонда следует увеличивать на 5%.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2.5.12.  На территории микрорайонов размещаются площадки для игр детей, отдыха взрослого населения, занятий физкультурой, а также площадки хозяйственного и другого специального назначения. Размеры п</w:t>
      </w:r>
      <w:r>
        <w:rPr>
          <w:rFonts w:ascii="Times New Roman" w:hAnsi="Times New Roman"/>
          <w:sz w:val="20"/>
        </w:rPr>
        <w:t>лощадок и расстояния от площадок до жилых  и общественных зданий следует принимать не менее приведенных в таблице: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405"/>
        <w:gridCol w:w="1710"/>
        <w:gridCol w:w="1695"/>
        <w:gridCol w:w="15"/>
        <w:gridCol w:w="1695"/>
        <w:gridCol w:w="1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Площадки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Удельные размеры площадок, 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60" type="#_x0000_t75" style="width:9pt;height:17.25pt">
                  <v:imagedata r:id="rId14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/чел.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 одной площадки, 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61" type="#_x0000_t75" style="width:9pt;height:17.25pt">
                  <v:imagedata r:id="rId14" o:title=""/>
                </v:shape>
              </w:pict>
            </w:r>
          </w:p>
        </w:tc>
        <w:tc>
          <w:tcPr>
            <w:tcW w:w="17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Расстояние от площадок до окон жилых и общественных зданий, м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игр детей дошкольного и младшего школьного возраста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0,35 </w:t>
            </w:r>
          </w:p>
        </w:tc>
        <w:tc>
          <w:tcPr>
            <w:tcW w:w="1710" w:type="dxa"/>
            <w:gridSpan w:val="2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1710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отдыха взрослого населения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0,05 </w:t>
            </w:r>
          </w:p>
        </w:tc>
        <w:tc>
          <w:tcPr>
            <w:tcW w:w="1710" w:type="dxa"/>
            <w:gridSpan w:val="2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занятий физкультурой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 </w:t>
            </w:r>
          </w:p>
        </w:tc>
        <w:tc>
          <w:tcPr>
            <w:tcW w:w="1710" w:type="dxa"/>
            <w:gridSpan w:val="2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15-25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хозяйственных целей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 </w:t>
            </w:r>
          </w:p>
        </w:tc>
        <w:tc>
          <w:tcPr>
            <w:tcW w:w="1710" w:type="dxa"/>
            <w:gridSpan w:val="2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62" type="#_x0000_t75" style="width:9pt;height:17.25pt">
                  <v:imagedata r:id="rId20" o:title="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6810" w:type="dxa"/>
            <w:gridSpan w:val="3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_________________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63" type="#_x0000_t75" style="width:9pt;height:17.25pt">
                  <v:imagedata r:id="rId2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За исключен</w:t>
            </w:r>
            <w:r>
              <w:rPr>
                <w:rFonts w:ascii="Times New Roman" w:hAnsi="Times New Roman"/>
                <w:sz w:val="20"/>
              </w:rPr>
              <w:t xml:space="preserve">ием площадок для сушки белья </w:t>
            </w: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выгула собак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 </w:t>
            </w:r>
          </w:p>
        </w:tc>
        <w:tc>
          <w:tcPr>
            <w:tcW w:w="1710" w:type="dxa"/>
            <w:gridSpan w:val="2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  <w:tc>
          <w:tcPr>
            <w:tcW w:w="1710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 1. Площадки для хозяйственных целей следует располагать не далее 100 м от наиболее  удаленного входа в жилое здание. При застройке жилыми  зданиями в 9 этажей, а в других условиях при соответствующем обосновании, удельные размеры площадок для хозяйственных целей допускается уменьшать, но не более чем в 2 раза.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 К площадкам мусоросборников должны быть обеспечены подходы и подъезды, позволяющие маневрировать мусоровозному т</w:t>
      </w:r>
      <w:r>
        <w:rPr>
          <w:rFonts w:ascii="Times New Roman" w:hAnsi="Times New Roman"/>
          <w:sz w:val="20"/>
        </w:rPr>
        <w:t xml:space="preserve">ранспорту.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2.5.13. Размещение и ориентация жилых и общественных зданий (за исключением детских дошкольных учреждений, общеобразовательных школ и школ-интернатов) должны обеспечивать непрерывную продолжительность инсоляции помещений и территорий - не менее 2,5 часов на период с 22 апреля до 22 августа.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Примечание. Ориентация и размещение детских дошкольных учреждений, общеобразовательных школ и школ-интернатов должны обеспечивать непрерывную 3-х часовую продолжительность инсоляции в помещениях, указанных </w:t>
      </w:r>
      <w:r>
        <w:rPr>
          <w:rFonts w:ascii="Times New Roman" w:hAnsi="Times New Roman"/>
          <w:sz w:val="20"/>
        </w:rPr>
        <w:t xml:space="preserve">в нормах и правилах обеспечения инсоляцией жилых и общественных зданий и территорий жилой застройки, утвержденных в установленном порядке.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2.6. Учреждения и предприятия обслуживания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2.6.1. Систему общественного обслуживания региона следует формировать с учетом тесного взаимодействия двух систем: межселенной и системы обслуживания собственного населенного пункта.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Состав и вместимость общественных центров городов следует определять в зависимости от роли центров в системе межселенного обслуживания, выделя</w:t>
      </w:r>
      <w:r>
        <w:rPr>
          <w:rFonts w:ascii="Times New Roman" w:hAnsi="Times New Roman"/>
          <w:sz w:val="20"/>
        </w:rPr>
        <w:t>я центры следующих категорий: I категория - в опорном городе, обслуживающем  до 1 млн. чел. в пределах региональной системы населенных мест; II категории - в базовом городе,  обслуживающем до 400-500 тыс. чел. населения в пределах групповых систем; III категории - в городах-центрах групп поселений  и централизованных систем расселения, входящих в состав более крупных групповых систем и обслуживающих до 100-150 тыс. чел. или в организационно-хозяйственных городах-центрах локальных групп поселений, значительн</w:t>
      </w:r>
      <w:r>
        <w:rPr>
          <w:rFonts w:ascii="Times New Roman" w:hAnsi="Times New Roman"/>
          <w:sz w:val="20"/>
        </w:rPr>
        <w:t>о удаленных от опорных и базовых городов и обслуживающих от 50 до 120 тыс.  человек; IV категории - в городах, входящих в состав групповых систем, формируемых  вокруг базовых городов и обслуживающих до 50 тыс. жителей группы поселений.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определении состава, вместимости и размещения учреждений и предприятий обслуживания в центрах  следует учитывать дополнительные нагрузки с учетом потребностей населения зон транспортной доступности  в пределах системы расселения, которые составляют: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для городов-центро</w:t>
      </w:r>
      <w:r>
        <w:rPr>
          <w:rFonts w:ascii="Times New Roman" w:hAnsi="Times New Roman"/>
          <w:sz w:val="20"/>
        </w:rPr>
        <w:t>в I категории - не более 2 ч;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- II категории - не более 1,5 ч;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III-IV категорий - не более 1 ч.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К учреждениям, имеющим межселенное значение, следует относить медицинские  учреждения - больницы многопрофильные и специализированные, станции скорой помощи с авиатранспортом, санэпидстанции; учреждения детского дошкольного воспитания и образования - интернаты специализированные, санаторного типа; учебные заведения - высшие, средние специальные и профессионально-технические; учреждения культуры и искусства </w:t>
      </w:r>
      <w:r>
        <w:rPr>
          <w:rFonts w:ascii="Times New Roman" w:hAnsi="Times New Roman"/>
          <w:sz w:val="20"/>
        </w:rPr>
        <w:t xml:space="preserve">- театры, дворцы культуры, концертные залы, библиотеки, музейно-выставочные комплексы, специализированные клубы; торгово-бытовые предприятия - универмаги, торговые центры, специализированные магазины, рестораны, кафе, специализированные мастерские и предприятия бытового обслуживания, ремонта автомобилей, ателье проката; спортивно-зрелищные и спортивные сооружения - дворцы спорта, стадионы, плавательные бассейны, спортивные школы-интернаты.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Детские дошкольные учреждения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2.6.2. Детские дошкольные учрежден</w:t>
      </w:r>
      <w:r>
        <w:rPr>
          <w:rFonts w:ascii="Times New Roman" w:hAnsi="Times New Roman"/>
          <w:sz w:val="20"/>
        </w:rPr>
        <w:t xml:space="preserve">ия (детские сады-ясли, комплексы детских садов-яслей, детские ясли и детские сады) следует размещать в микрорайонах, как правило,  на обособленных земельных участках с радиусом  обслуживания для подрайона IГ  - 200 м, для IД - 250 м.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Расстояние от зданий детских дошкольных учреждений до красной линии  должно  быть не менее 25 м, от границ земельных участков детских дошкольных учреждений (за исключением пристроенных к торцам жилых домов) до стен жилых домов с входами и окнами - не менее  10 м, без входов и</w:t>
      </w:r>
      <w:r>
        <w:rPr>
          <w:rFonts w:ascii="Times New Roman" w:hAnsi="Times New Roman"/>
          <w:sz w:val="20"/>
        </w:rPr>
        <w:t xml:space="preserve"> окон - 5 м с соблюдением противопожарных норм.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Детские дошкольные учреждения II степени огнестойкости вместимостью  не более 140 мест допускается пристраивать к торцам жилых домов II степени огнестойкости, не имеющих оконных проемов.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2.6.3. Количество мест в детских дошкольных учреждениях следует устанавливать в зависимости от демографической структуры населения города или поселка на основе данных ЦСУ СССР. При этом на первую очередь строительства предусматривается обеспечение детскими  дошкольными учреж</w:t>
      </w:r>
      <w:r>
        <w:rPr>
          <w:rFonts w:ascii="Times New Roman" w:hAnsi="Times New Roman"/>
          <w:sz w:val="20"/>
        </w:rPr>
        <w:t xml:space="preserve">дениями всех детей дошкольного возраста.  При отсутствии информации  по демографии населения конкретного населенного пункта, количество мест детских дошкольных учреждений, приходящихся на 1000 жителей, следует принимать от 110 до 125 мест.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территории микрорайонов городов и ПГТ детские ясли-сады  следует размещать  из расчета 100-120 мест на 1000 чел. Остальное количество мест на первую очередь строительства следует предусматривать в дошкольных учреждениях с группами пятидневного пребывания, размещаемым</w:t>
      </w:r>
      <w:r>
        <w:rPr>
          <w:rFonts w:ascii="Times New Roman" w:hAnsi="Times New Roman"/>
          <w:sz w:val="20"/>
        </w:rPr>
        <w:t xml:space="preserve">и в пригородной и зеленой зонах с последующим использованием их  в качестве оздоровительных учреждений для дошкольников и дач дошкольных учреждений.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вахтовых поселках размещение детских дошкольных учреждений не предусматривается.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Размеры земельных участков для подрайона IД следует принимать на  одно место: в учреждениях до 100 мест - 28 м</w:t>
      </w:r>
      <w:r>
        <w:rPr>
          <w:rFonts w:ascii="Times New Roman" w:hAnsi="Times New Roman"/>
          <w:position w:val="-4"/>
          <w:sz w:val="20"/>
        </w:rPr>
        <w:pict>
          <v:shape id="_x0000_i1064" type="#_x0000_t75" style="width:9pt;height:17.25pt">
            <v:imagedata r:id="rId21" o:title=""/>
          </v:shape>
        </w:pict>
      </w:r>
      <w:r>
        <w:rPr>
          <w:rFonts w:ascii="Times New Roman" w:hAnsi="Times New Roman"/>
          <w:sz w:val="20"/>
        </w:rPr>
        <w:t>,   свыше  100 до 350 мест - 24 м</w:t>
      </w:r>
      <w:r>
        <w:rPr>
          <w:rFonts w:ascii="Times New Roman" w:hAnsi="Times New Roman"/>
          <w:position w:val="-4"/>
          <w:sz w:val="20"/>
        </w:rPr>
        <w:pict>
          <v:shape id="_x0000_i1065" type="#_x0000_t75" style="width:9pt;height:17.25pt">
            <v:imagedata r:id="rId21" o:title=""/>
          </v:shape>
        </w:pict>
      </w:r>
      <w:r>
        <w:rPr>
          <w:rFonts w:ascii="Times New Roman" w:hAnsi="Times New Roman"/>
          <w:sz w:val="20"/>
        </w:rPr>
        <w:t>, в комплексах учреждений до 600 мест - 21 м</w:t>
      </w:r>
      <w:r>
        <w:rPr>
          <w:rFonts w:ascii="Times New Roman" w:hAnsi="Times New Roman"/>
          <w:position w:val="-4"/>
          <w:sz w:val="20"/>
        </w:rPr>
        <w:pict>
          <v:shape id="_x0000_i1066" type="#_x0000_t75" style="width:9pt;height:17.25pt">
            <v:imagedata r:id="rId21" o:title=""/>
          </v:shape>
        </w:pict>
      </w:r>
      <w:r>
        <w:rPr>
          <w:rFonts w:ascii="Times New Roman" w:hAnsi="Times New Roman"/>
          <w:sz w:val="20"/>
        </w:rPr>
        <w:t xml:space="preserve">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Размеры земельных участков для подрайона IГ следует  принимать из расчета на одно </w:t>
      </w:r>
      <w:r>
        <w:rPr>
          <w:rFonts w:ascii="Times New Roman" w:hAnsi="Times New Roman"/>
          <w:sz w:val="20"/>
        </w:rPr>
        <w:t>место: в детских дошкольных учреждениях вместимостью до 100 мест - 24 м</w:t>
      </w:r>
      <w:r>
        <w:rPr>
          <w:rFonts w:ascii="Times New Roman" w:hAnsi="Times New Roman"/>
          <w:position w:val="-4"/>
          <w:sz w:val="20"/>
        </w:rPr>
        <w:pict>
          <v:shape id="_x0000_i1067" type="#_x0000_t75" style="width:9pt;height:17.25pt">
            <v:imagedata r:id="rId21" o:title=""/>
          </v:shape>
        </w:pict>
      </w:r>
      <w:r>
        <w:rPr>
          <w:rFonts w:ascii="Times New Roman" w:hAnsi="Times New Roman"/>
          <w:sz w:val="20"/>
        </w:rPr>
        <w:t xml:space="preserve"> на 1 место; свыше  100 мест - 21 м</w:t>
      </w:r>
      <w:r>
        <w:rPr>
          <w:rFonts w:ascii="Times New Roman" w:hAnsi="Times New Roman"/>
          <w:position w:val="-4"/>
          <w:sz w:val="20"/>
        </w:rPr>
        <w:pict>
          <v:shape id="_x0000_i1068" type="#_x0000_t75" style="width:9pt;height:17.25pt">
            <v:imagedata r:id="rId21" o:title=""/>
          </v:shape>
        </w:pict>
      </w:r>
      <w:r>
        <w:rPr>
          <w:rFonts w:ascii="Times New Roman" w:hAnsi="Times New Roman"/>
          <w:sz w:val="20"/>
        </w:rPr>
        <w:t xml:space="preserve"> на 1  место.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Примечания: 1. Для детских садов, объединенных с начальной школой, размеры земельных участков следует принимать суммируя нормы земельных  участков для отдельных учреждений соответствующей вместимости, при этом допускается уменьшать площадь участка, но не более, чем на 10%. 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В районах тундры и редколесья, где отсутствует земледелие в  открытом грунте, допускается не создавать огород</w:t>
      </w:r>
      <w:r>
        <w:rPr>
          <w:rFonts w:ascii="Times New Roman" w:hAnsi="Times New Roman"/>
          <w:sz w:val="20"/>
        </w:rPr>
        <w:t xml:space="preserve">-ягодник. 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2.6.4. Состав и площади земельных участков детских яслей-садов следует  принимать в соответствии с таблицей 2.6.1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2.6.1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30"/>
        <w:gridCol w:w="1065"/>
        <w:gridCol w:w="1065"/>
        <w:gridCol w:w="1065"/>
        <w:gridCol w:w="1065"/>
        <w:gridCol w:w="1065"/>
        <w:gridCol w:w="106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Наименование элементов </w:t>
            </w:r>
          </w:p>
        </w:tc>
        <w:tc>
          <w:tcPr>
            <w:tcW w:w="6390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Площади участков в 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69" type="#_x0000_t75" style="width:9pt;height:17.25pt">
                  <v:imagedata r:id="rId2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при количестве мест 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95 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140 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190 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280 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 Площадь застройки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6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6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6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6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а) здания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390" w:type="dxa"/>
            <w:gridSpan w:val="6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определяется в зависимости от конкретного объемно-планировочного решения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б) теневых навесов с трехсторонним ветрозащитным ограждением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480 </w:t>
            </w:r>
          </w:p>
        </w:tc>
        <w:tc>
          <w:tcPr>
            <w:tcW w:w="106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560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Детские площадки: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940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1380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1790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2500 </w:t>
            </w:r>
          </w:p>
        </w:tc>
        <w:tc>
          <w:tcPr>
            <w:tcW w:w="106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2870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а) групповые для детей ясельного возраста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 </w:t>
            </w:r>
          </w:p>
        </w:tc>
        <w:tc>
          <w:tcPr>
            <w:tcW w:w="106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б) групповые для детей дошкольного возраста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540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720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1080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1440 </w:t>
            </w:r>
          </w:p>
        </w:tc>
        <w:tc>
          <w:tcPr>
            <w:tcW w:w="106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в) общая физкультурная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250 </w:t>
            </w:r>
          </w:p>
        </w:tc>
        <w:tc>
          <w:tcPr>
            <w:tcW w:w="106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г) огород-ягодник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</w:tc>
        <w:tc>
          <w:tcPr>
            <w:tcW w:w="106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д) теплица (с зоологическим уголком)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160 </w:t>
            </w:r>
          </w:p>
        </w:tc>
        <w:tc>
          <w:tcPr>
            <w:tcW w:w="106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Зеленые насаждения 20-30% от площадки участка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540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730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1740 </w:t>
            </w:r>
          </w:p>
        </w:tc>
        <w:tc>
          <w:tcPr>
            <w:tcW w:w="106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2115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 Хозяйственная площадка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 </w:t>
            </w:r>
          </w:p>
        </w:tc>
        <w:tc>
          <w:tcPr>
            <w:tcW w:w="106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106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106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145 </w:t>
            </w:r>
          </w:p>
        </w:tc>
        <w:tc>
          <w:tcPr>
            <w:tcW w:w="106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240 </w:t>
            </w:r>
          </w:p>
        </w:tc>
        <w:tc>
          <w:tcPr>
            <w:tcW w:w="106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240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 1. Теневые навесы не предусматриваются в районах севернее 65</w:t>
      </w:r>
      <w:r>
        <w:rPr>
          <w:rFonts w:ascii="Times New Roman" w:hAnsi="Times New Roman"/>
          <w:position w:val="-4"/>
          <w:sz w:val="20"/>
        </w:rPr>
        <w:pict>
          <v:shape id="_x0000_i1070" type="#_x0000_t75" style="width:9pt;height:17.25pt">
            <v:imagedata r:id="rId22" o:title=""/>
          </v:shape>
        </w:pict>
      </w:r>
      <w:r>
        <w:rPr>
          <w:rFonts w:ascii="Times New Roman" w:hAnsi="Times New Roman"/>
          <w:sz w:val="20"/>
        </w:rPr>
        <w:t xml:space="preserve"> с.ш. В тех же районах допускается не проектировать общую физкультурную площадку и площадку для ожидания детей.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2.6.5. Площадь групповых площадок для детских дошкольных учреждений должна определяться из расчета 2,5 м</w:t>
      </w:r>
      <w:r>
        <w:rPr>
          <w:rFonts w:ascii="Times New Roman" w:hAnsi="Times New Roman"/>
          <w:position w:val="-4"/>
          <w:sz w:val="20"/>
        </w:rPr>
        <w:pict>
          <v:shape id="_x0000_i1071" type="#_x0000_t75" style="width:9pt;height:17.25pt">
            <v:imagedata r:id="rId21" o:title=""/>
          </v:shape>
        </w:pict>
      </w:r>
      <w:r>
        <w:rPr>
          <w:rFonts w:ascii="Times New Roman" w:hAnsi="Times New Roman"/>
          <w:sz w:val="20"/>
        </w:rPr>
        <w:t xml:space="preserve"> на 1 ребенка II группы раннего возраста и 3,5 м</w:t>
      </w:r>
      <w:r>
        <w:rPr>
          <w:rFonts w:ascii="Times New Roman" w:hAnsi="Times New Roman"/>
          <w:position w:val="-4"/>
          <w:sz w:val="20"/>
        </w:rPr>
        <w:pict>
          <v:shape id="_x0000_i1072" type="#_x0000_t75" style="width:9pt;height:17.25pt">
            <v:imagedata r:id="rId21" o:title=""/>
          </v:shape>
        </w:pict>
      </w:r>
      <w:r>
        <w:rPr>
          <w:rFonts w:ascii="Times New Roman" w:hAnsi="Times New Roman"/>
          <w:sz w:val="20"/>
        </w:rPr>
        <w:t xml:space="preserve"> на 1 ребенка I младшей группы и всех дошкольных групп.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Покрытие групповых пл</w:t>
      </w:r>
      <w:r>
        <w:rPr>
          <w:rFonts w:ascii="Times New Roman" w:hAnsi="Times New Roman"/>
          <w:sz w:val="20"/>
        </w:rPr>
        <w:t>ощадок для детей ясельного возраста и дошкольного возраста допускается предусматривать (в IГ  климатическом подрайоне) дощатым, в виде продуваемой платформы высотой не менее 1 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Площадка-платформа размещается в зоне, где не формируются снегоотложения от зданий и других сооружений.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2.6.6. Площадь  озеленения участка детского дошкольного учреждения допускается принимать от 4 до 6 м</w:t>
      </w:r>
      <w:r>
        <w:rPr>
          <w:rFonts w:ascii="Times New Roman" w:hAnsi="Times New Roman"/>
          <w:position w:val="-4"/>
          <w:sz w:val="20"/>
        </w:rPr>
        <w:pict>
          <v:shape id="_x0000_i1073" type="#_x0000_t75" style="width:9pt;height:17.25pt">
            <v:imagedata r:id="rId21" o:title=""/>
          </v:shape>
        </w:pict>
      </w:r>
      <w:r>
        <w:rPr>
          <w:rFonts w:ascii="Times New Roman" w:hAnsi="Times New Roman"/>
          <w:sz w:val="20"/>
        </w:rPr>
        <w:t xml:space="preserve"> на одно место.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указанных пределах площадь озеленения дифференцируется в зависимости от конкретных лесорастительных и почве</w:t>
      </w:r>
      <w:r>
        <w:rPr>
          <w:rFonts w:ascii="Times New Roman" w:hAnsi="Times New Roman"/>
          <w:sz w:val="20"/>
        </w:rPr>
        <w:t>нных условий и от вместимости учреждений.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Подбор видов зеленых насаждений рекомендуется   производить из местных пород, обладающих длительным вегетационным периодом и отличающихся декоративными свойствами.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наличии естественного  озеленения рекомендуется всемерно способствовать его сохранению.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2.6.7. При проектировании детских дошкольных учреждений в районах с объемом снегопереноса более 200 м</w:t>
      </w:r>
      <w:r>
        <w:rPr>
          <w:rFonts w:ascii="Times New Roman" w:hAnsi="Times New Roman"/>
          <w:position w:val="-4"/>
          <w:sz w:val="20"/>
        </w:rPr>
        <w:pict>
          <v:shape id="_x0000_i1074" type="#_x0000_t75" style="width:9pt;height:17.25pt">
            <v:imagedata r:id="rId23" o:title=""/>
          </v:shape>
        </w:pict>
      </w:r>
      <w:r>
        <w:rPr>
          <w:rFonts w:ascii="Times New Roman" w:hAnsi="Times New Roman"/>
          <w:sz w:val="20"/>
        </w:rPr>
        <w:t xml:space="preserve"> на 1 м фронта переноса в год необходимо предусматривать ветро- и снегозащиту территории земельного участка </w:t>
      </w:r>
      <w:r>
        <w:rPr>
          <w:rFonts w:ascii="Times New Roman" w:hAnsi="Times New Roman"/>
          <w:sz w:val="20"/>
        </w:rPr>
        <w:t>детского учреждения и самого здания. При этом здание яслей-сада следует располагать в зоне  ветрозащиты, создаваемой жилыми зданиями и специальными преградами.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целях снегозащиты ограждения земельного участка должны иметь просветность порядка 50-70%.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Общеобразовательные школы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2.6.8. Общеобразовательные школы следует размещать на территории микрорайонов на обособленных земельных участках с радиусом обслуживания для подрайона IГ не более 300 м, для подрайона IД - не более 400 м. В вахтовых поселках строи</w:t>
      </w:r>
      <w:r>
        <w:rPr>
          <w:rFonts w:ascii="Times New Roman" w:hAnsi="Times New Roman"/>
          <w:sz w:val="20"/>
        </w:rPr>
        <w:t>тельство школ не предусматривается.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Размеры земельных участков общеобразовательных школ следует принимать из расчета на 1 учащегося в зависимости от вместимости школ, м</w:t>
      </w:r>
      <w:r>
        <w:rPr>
          <w:rFonts w:ascii="Times New Roman" w:hAnsi="Times New Roman"/>
          <w:position w:val="-4"/>
          <w:sz w:val="20"/>
        </w:rPr>
        <w:pict>
          <v:shape id="_x0000_i1075" type="#_x0000_t75" style="width:9pt;height:17.25pt">
            <v:imagedata r:id="rId21" o:title=""/>
          </v:shape>
        </w:pict>
      </w:r>
      <w:r>
        <w:rPr>
          <w:rFonts w:ascii="Times New Roman" w:hAnsi="Times New Roman"/>
          <w:sz w:val="20"/>
        </w:rPr>
        <w:t>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835"/>
        <w:gridCol w:w="2835"/>
        <w:gridCol w:w="283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Тип школы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Подрайон IГ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Подрайон IД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 100 мест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35-40 </w:t>
            </w:r>
          </w:p>
        </w:tc>
        <w:tc>
          <w:tcPr>
            <w:tcW w:w="283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40-45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свыше 100 до 600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20-25 </w:t>
            </w: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25-30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свыше 600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10-20 </w:t>
            </w:r>
          </w:p>
        </w:tc>
        <w:tc>
          <w:tcPr>
            <w:tcW w:w="283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20-25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При строительстве на школьном  участке бассейна площадь участка допускается увеличивать на 0,15 га, а при размещении спального корпуса интерната - на 0,2 га.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В полярной зоне региона допускаетс</w:t>
      </w:r>
      <w:r>
        <w:rPr>
          <w:rFonts w:ascii="Times New Roman" w:hAnsi="Times New Roman"/>
          <w:sz w:val="20"/>
        </w:rPr>
        <w:t xml:space="preserve">я исключение из состава школьного участка площадок для военно-спортивной подготовки за счет организации специализированной военно-спортивной зоны районного или городского значения.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2.6.9. Количество детей школьного возраста, приходящееся на 1000 человек на первую очередь строительства, следует принимать по аналогии с демографическими данными других городов региона того же размера и производственного профиля, а при отсутствии аналога - 180 человек на 1000 жителей.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Средние специальные учебные заведения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Размеры земельных участков профессионально-технических училищ и средних специальных учебных заведений следует принимать по табл. 2.6.2.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2.6.2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835"/>
        <w:gridCol w:w="2835"/>
        <w:gridCol w:w="2835"/>
        <w:gridCol w:w="1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учащихся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Размеры земельного участка на 1 уч-ся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IГ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IД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 300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 </w:t>
            </w:r>
          </w:p>
        </w:tc>
        <w:tc>
          <w:tcPr>
            <w:tcW w:w="283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300-500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 </w:t>
            </w: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500-700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 </w:t>
            </w: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700-900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900-1200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1200-1600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 </w:t>
            </w: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св. 1600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283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Земельные участки общежитий, жилых домов для инженерно-педагогических работников, профилакториев и вспомогательных здан</w:t>
      </w:r>
      <w:r>
        <w:rPr>
          <w:rFonts w:ascii="Times New Roman" w:hAnsi="Times New Roman"/>
          <w:sz w:val="20"/>
        </w:rPr>
        <w:t>ий и сооружений, а также учебных хозяйств, полигонов и автотрактородромов не входят в приведенные выше показатели.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Учреждения здравоохранения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2.6.10. Емкость учреждений следует принимать на 1000 человек: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для больниц - 15,8 коек;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для поликлиник - 35 посещений в смену;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для аптек - 1 объект на микрорайон и 1 объект на жилой район;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для детских молочных кухонь - 2500 порций на 1000 детей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Размещение объектов здравоохранения следует предусматривать в каждом населенном пункте независ</w:t>
      </w:r>
      <w:r>
        <w:rPr>
          <w:rFonts w:ascii="Times New Roman" w:hAnsi="Times New Roman"/>
          <w:sz w:val="20"/>
        </w:rPr>
        <w:t>имо от его величины.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При наличии в населенном пункте молокозавода рекомендуется строительство цеха детской молочной кухни при молокозаводе. 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2.6.11. Учреждения здравоохранения вахтовых поселков следует принимать по таблице 2.6.3.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2.6.3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710"/>
        <w:gridCol w:w="1710"/>
        <w:gridCol w:w="1710"/>
        <w:gridCol w:w="1710"/>
        <w:gridCol w:w="1695"/>
        <w:gridCol w:w="15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Размещение 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Учреждения </w:t>
            </w:r>
          </w:p>
        </w:tc>
        <w:tc>
          <w:tcPr>
            <w:tcW w:w="171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Единица измерения </w:t>
            </w:r>
          </w:p>
        </w:tc>
        <w:tc>
          <w:tcPr>
            <w:tcW w:w="34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единиц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 очередь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расчетный срок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Вахтовые поселки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 до 300 чел.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Пункт по оказанию первой медицинской помощи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объект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Стационар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койка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3</w:t>
            </w:r>
            <w:r>
              <w:rPr>
                <w:rFonts w:ascii="Times New Roman" w:hAnsi="Times New Roman"/>
                <w:sz w:val="20"/>
              </w:rPr>
              <w:t xml:space="preserve">00 до 1000 чел.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Фельдшерский здравпункт с аптечным киоском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объект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Стационар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койка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3-5 </w:t>
            </w: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3-5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- 1000 чел. и более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Врачебный здравпункт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объект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Аптека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объект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  <w:tcBorders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Стационар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койка на 1000 человек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1710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2.6.12. Размеры земельных участков больниц в зависимости от их мощности следует принимать по таблице 2.6.4.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2.6.4.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425"/>
        <w:gridCol w:w="1425"/>
        <w:gridCol w:w="1410"/>
        <w:gridCol w:w="15"/>
        <w:gridCol w:w="1410"/>
        <w:gridCol w:w="15"/>
        <w:gridCol w:w="1425"/>
        <w:gridCol w:w="1395"/>
        <w:gridCol w:w="30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30" w:type="dxa"/>
        </w:trPr>
        <w:tc>
          <w:tcPr>
            <w:tcW w:w="142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Мощность больниц, коек 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Размеры земельных участков, 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76" type="#_x0000_t75" style="width:9pt;height:17.25pt">
                  <v:imagedata r:id="rId2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на 1 койку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25" w:type="dxa"/>
            <w:gridSpan w:val="2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Мощность больниц, коек 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Размеры земельных участ</w:t>
            </w:r>
            <w:r>
              <w:rPr>
                <w:rFonts w:ascii="Times New Roman" w:hAnsi="Times New Roman"/>
                <w:sz w:val="20"/>
              </w:rPr>
              <w:t>ков, 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77" type="#_x0000_t75" style="width:9pt;height:17.25pt">
                  <v:imagedata r:id="rId2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на 1 койку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для взрослых </w:t>
            </w:r>
          </w:p>
        </w:tc>
        <w:tc>
          <w:tcPr>
            <w:tcW w:w="142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для детей </w:t>
            </w:r>
          </w:p>
        </w:tc>
        <w:tc>
          <w:tcPr>
            <w:tcW w:w="1425" w:type="dxa"/>
            <w:gridSpan w:val="2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взрослых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2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для детей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 50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2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250 </w:t>
            </w:r>
          </w:p>
        </w:tc>
        <w:tc>
          <w:tcPr>
            <w:tcW w:w="1425" w:type="dxa"/>
            <w:gridSpan w:val="2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340 </w:t>
            </w:r>
          </w:p>
        </w:tc>
        <w:tc>
          <w:tcPr>
            <w:tcW w:w="1425" w:type="dxa"/>
            <w:gridSpan w:val="2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300-400 </w:t>
            </w:r>
          </w:p>
        </w:tc>
        <w:tc>
          <w:tcPr>
            <w:tcW w:w="142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95 </w:t>
            </w:r>
          </w:p>
        </w:tc>
        <w:tc>
          <w:tcPr>
            <w:tcW w:w="1425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50-100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170 </w:t>
            </w:r>
          </w:p>
        </w:tc>
        <w:tc>
          <w:tcPr>
            <w:tcW w:w="1425" w:type="dxa"/>
            <w:gridSpan w:val="2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250 </w:t>
            </w:r>
          </w:p>
        </w:tc>
        <w:tc>
          <w:tcPr>
            <w:tcW w:w="1425" w:type="dxa"/>
            <w:gridSpan w:val="2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400-500 </w:t>
            </w:r>
          </w:p>
        </w:tc>
        <w:tc>
          <w:tcPr>
            <w:tcW w:w="14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  <w:tc>
          <w:tcPr>
            <w:tcW w:w="1425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100-150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140 </w:t>
            </w:r>
          </w:p>
        </w:tc>
        <w:tc>
          <w:tcPr>
            <w:tcW w:w="1425" w:type="dxa"/>
            <w:gridSpan w:val="2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 </w:t>
            </w:r>
          </w:p>
        </w:tc>
        <w:tc>
          <w:tcPr>
            <w:tcW w:w="1425" w:type="dxa"/>
            <w:gridSpan w:val="2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500-600 </w:t>
            </w:r>
          </w:p>
        </w:tc>
        <w:tc>
          <w:tcPr>
            <w:tcW w:w="14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1425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150-200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 </w:t>
            </w:r>
          </w:p>
        </w:tc>
        <w:tc>
          <w:tcPr>
            <w:tcW w:w="1425" w:type="dxa"/>
            <w:gridSpan w:val="2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190 </w:t>
            </w:r>
          </w:p>
        </w:tc>
        <w:tc>
          <w:tcPr>
            <w:tcW w:w="1425" w:type="dxa"/>
            <w:gridSpan w:val="2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600-800 </w:t>
            </w:r>
          </w:p>
        </w:tc>
        <w:tc>
          <w:tcPr>
            <w:tcW w:w="14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 </w:t>
            </w:r>
          </w:p>
        </w:tc>
        <w:tc>
          <w:tcPr>
            <w:tcW w:w="1425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200-300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2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1425" w:type="dxa"/>
            <w:gridSpan w:val="2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180 </w:t>
            </w:r>
          </w:p>
        </w:tc>
        <w:tc>
          <w:tcPr>
            <w:tcW w:w="1425" w:type="dxa"/>
            <w:gridSpan w:val="2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800-1000 </w:t>
            </w:r>
          </w:p>
        </w:tc>
        <w:tc>
          <w:tcPr>
            <w:tcW w:w="142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 </w:t>
            </w:r>
          </w:p>
        </w:tc>
        <w:tc>
          <w:tcPr>
            <w:tcW w:w="1425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</w:tr>
    </w:tbl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Учреждения отдыха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2.6.13. Расчетные нормы по проектированию рекреационных учреждений следует принимать в соответствии с таблицей 2.6.5.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2.6.14. Площадь зеленых насаждений в оздоровительных учреждениях отдыха н</w:t>
      </w:r>
      <w:r>
        <w:rPr>
          <w:rFonts w:ascii="Times New Roman" w:hAnsi="Times New Roman"/>
          <w:sz w:val="20"/>
        </w:rPr>
        <w:t>е нормируется.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2.6.5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405"/>
        <w:gridCol w:w="1710"/>
        <w:gridCol w:w="1710"/>
        <w:gridCol w:w="1695"/>
        <w:gridCol w:w="1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Учреждения 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Полярная зона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Приполярная зона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Зона Среднеобья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340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51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кол-во мест на 1000 жителей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Санатории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Профилактории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10-15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8-12 </w:t>
            </w: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5-7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Пионерские лагеря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8-12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28-32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15-20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20-25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Учреждения отдыха дошкольников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Турбазы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8-10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2-4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3-5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Базы отдыха и рыболовства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20-25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15-20 </w:t>
            </w: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12-25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</w:t>
            </w:r>
            <w:r>
              <w:rPr>
                <w:rFonts w:ascii="Times New Roman" w:hAnsi="Times New Roman"/>
                <w:sz w:val="20"/>
              </w:rPr>
              <w:t>ллективные сады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30-40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 В числителе  указано количество мест, размещаемых в пригородных районах, в знаменателе - размещаемых за ее пределами, в более комфортных районах, в том числе в южных районах Западной Сибири, юга Европейской части СССР и др.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Физкультурно-спортивные сооружения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2.6.15. Размещение и размеры земельных участков физкультурно-спортивных сооружений следует принимать по табл. 2.6.6.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2.6.6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710"/>
        <w:gridCol w:w="1710"/>
        <w:gridCol w:w="1710"/>
        <w:gridCol w:w="1710"/>
        <w:gridCol w:w="1695"/>
        <w:gridCol w:w="15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Размещение 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Сооружения </w:t>
            </w:r>
          </w:p>
        </w:tc>
        <w:tc>
          <w:tcPr>
            <w:tcW w:w="171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Единица    измерения </w:t>
            </w:r>
          </w:p>
        </w:tc>
        <w:tc>
          <w:tcPr>
            <w:tcW w:w="34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Количество на 1000 </w:t>
            </w:r>
            <w:r>
              <w:rPr>
                <w:rFonts w:ascii="Times New Roman" w:hAnsi="Times New Roman"/>
                <w:sz w:val="20"/>
              </w:rPr>
              <w:t xml:space="preserve">человек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I очередь </w:t>
            </w:r>
          </w:p>
        </w:tc>
        <w:tc>
          <w:tcPr>
            <w:tcW w:w="1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расчетный срок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Жилой район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Зона спортивных сооружений общественного центра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га </w:t>
            </w:r>
          </w:p>
        </w:tc>
        <w:tc>
          <w:tcPr>
            <w:tcW w:w="171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Населенный пункт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Спортивный центр </w:t>
            </w:r>
          </w:p>
        </w:tc>
        <w:tc>
          <w:tcPr>
            <w:tcW w:w="17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га </w:t>
            </w:r>
          </w:p>
        </w:tc>
        <w:tc>
          <w:tcPr>
            <w:tcW w:w="17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0.35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Примечания: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 В числителе приведены показатели для населенных пунктов с населением более 20 тыс. человек, в знаменателе - для населенных пунктов  с населением менее 20 тыс. чел.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Пешеходная доступность спортивных центров жилой зоны - до 1200 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z w:val="20"/>
        </w:rPr>
        <w:t>ормы  расчета закрытых спортивных  сооружений следует принимать по таблице  2.6.7.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2.6.7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835"/>
        <w:gridCol w:w="2835"/>
        <w:gridCol w:w="2835"/>
        <w:gridCol w:w="1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Населенный пункт, тыс. чел.</w:t>
            </w:r>
          </w:p>
        </w:tc>
        <w:tc>
          <w:tcPr>
            <w:tcW w:w="56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Площадь, 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78" type="#_x0000_t75" style="width:9pt;height:17.25pt">
                  <v:imagedata r:id="rId2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на 1000 человек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спортивного зала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зеркала воды бассейна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Свыше 100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 </w:t>
            </w:r>
          </w:p>
        </w:tc>
        <w:tc>
          <w:tcPr>
            <w:tcW w:w="283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Св. 50 до 100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Св. 25 до 50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125 </w:t>
            </w: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Св. 10 до 25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175 </w:t>
            </w: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283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Св. 5 до 10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 </w:t>
            </w:r>
          </w:p>
        </w:tc>
        <w:tc>
          <w:tcPr>
            <w:tcW w:w="283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2.6.16. В вахтовых поселках следует предусматривать размещение следующих спортивных сооружений на все сроки освоения: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численностью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 100 чел. - помещение для спортивны</w:t>
      </w:r>
      <w:r>
        <w:rPr>
          <w:rFonts w:ascii="Times New Roman" w:hAnsi="Times New Roman"/>
          <w:sz w:val="20"/>
        </w:rPr>
        <w:t>х  занятий размером 54 м</w:t>
      </w:r>
      <w:r>
        <w:rPr>
          <w:rFonts w:ascii="Times New Roman" w:hAnsi="Times New Roman"/>
          <w:position w:val="-4"/>
          <w:sz w:val="20"/>
        </w:rPr>
        <w:pict>
          <v:shape id="_x0000_i1079" type="#_x0000_t75" style="width:9pt;height:17.25pt">
            <v:imagedata r:id="rId21" o:title=""/>
          </v:shape>
        </w:pict>
      </w:r>
      <w:r>
        <w:rPr>
          <w:rFonts w:ascii="Times New Roman" w:hAnsi="Times New Roman"/>
          <w:sz w:val="20"/>
        </w:rPr>
        <w:t xml:space="preserve"> площади пола;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с численностью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 100 до 1000 чел. - спортивный зал размером до 150 м</w:t>
      </w:r>
      <w:r>
        <w:rPr>
          <w:rFonts w:ascii="Times New Roman" w:hAnsi="Times New Roman"/>
          <w:position w:val="-4"/>
          <w:sz w:val="20"/>
        </w:rPr>
        <w:pict>
          <v:shape id="_x0000_i1080" type="#_x0000_t75" style="width:9pt;height:17.25pt">
            <v:imagedata r:id="rId21" o:title=""/>
          </v:shape>
        </w:pict>
      </w:r>
      <w:r>
        <w:rPr>
          <w:rFonts w:ascii="Times New Roman" w:hAnsi="Times New Roman"/>
          <w:sz w:val="20"/>
        </w:rPr>
        <w:t xml:space="preserve"> площади пола;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с численностью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1000 чел. и более - спортивный зал размером до 300 м</w:t>
      </w:r>
      <w:r>
        <w:rPr>
          <w:rFonts w:ascii="Times New Roman" w:hAnsi="Times New Roman"/>
          <w:position w:val="-4"/>
          <w:sz w:val="20"/>
        </w:rPr>
        <w:pict>
          <v:shape id="_x0000_i1081" type="#_x0000_t75" style="width:9pt;height:17.25pt">
            <v:imagedata r:id="rId21" o:title=""/>
          </v:shape>
        </w:pict>
      </w:r>
      <w:r>
        <w:rPr>
          <w:rFonts w:ascii="Times New Roman" w:hAnsi="Times New Roman"/>
          <w:sz w:val="20"/>
        </w:rPr>
        <w:t xml:space="preserve"> площади  пола.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вахтовых поселках строительство бассейна допускается по заданию на проектирование.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2.6.17. Распределение суммарных норм спортзалов и плавательных бассейнов между структурно-планировочными элементами города следует принимать по таблице 2.6.8.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2.6.8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30"/>
        <w:gridCol w:w="2130"/>
        <w:gridCol w:w="2130"/>
        <w:gridCol w:w="213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Сооружения </w:t>
            </w:r>
          </w:p>
        </w:tc>
        <w:tc>
          <w:tcPr>
            <w:tcW w:w="63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%%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Общегород</w:t>
            </w:r>
            <w:r>
              <w:rPr>
                <w:rFonts w:ascii="Times New Roman" w:hAnsi="Times New Roman"/>
                <w:sz w:val="20"/>
              </w:rPr>
              <w:t>ской центр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Спортцентры жилых районов 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Микрорайоны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Спортзалы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213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213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Плавательные бассейны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 </w:t>
            </w:r>
          </w:p>
        </w:tc>
        <w:tc>
          <w:tcPr>
            <w:tcW w:w="213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213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Микрорайонные спортзалы и бассейны должны размещаться в комплексе со школами с возможностью их использования в дневное время (будние дни) школьниками, в вечернее - взрослым населением микрорайонов.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Спортзалы необходимо размещать в каждом микрорайоне, а плавательные бассейны в расчете на один-два микрорайона в пределах межмагистральной территории с учетом численности населе</w:t>
      </w:r>
      <w:r>
        <w:rPr>
          <w:rFonts w:ascii="Times New Roman" w:hAnsi="Times New Roman"/>
          <w:sz w:val="20"/>
        </w:rPr>
        <w:t>ния и площади микрорайона.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Учреждения культуры и искусства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2.6.18. Для городов на первую очередь строительства допускается предусматривать размещение учреждений культуры на 1000 жителей из расчета: клубы и дома культуры 40 мест в зрительном зале;  кинотеатры 50 мест в зрительном зале; библиотеки - 8000 томов; концертные залы - 3,5-5 мест; цирки - 3,5-5 мест; универсальные зрелищно-спортивные залы - 6-9 мест.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Нормативы по детским учреждениям культуры принимать по табл. 2.6.9. 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2.6.9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30"/>
        <w:gridCol w:w="2130"/>
        <w:gridCol w:w="2130"/>
        <w:gridCol w:w="213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Единица измерения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I очередь 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расчетный срок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Станция юных техников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место для кружковых занятий </w:t>
            </w:r>
          </w:p>
        </w:tc>
        <w:tc>
          <w:tcPr>
            <w:tcW w:w="213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 </w:t>
            </w:r>
          </w:p>
        </w:tc>
        <w:tc>
          <w:tcPr>
            <w:tcW w:w="213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Станция юных натуралистов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 " -</w:t>
            </w:r>
          </w:p>
        </w:tc>
        <w:tc>
          <w:tcPr>
            <w:tcW w:w="21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 </w:t>
            </w:r>
          </w:p>
        </w:tc>
        <w:tc>
          <w:tcPr>
            <w:tcW w:w="213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Дома пионеров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 " -</w:t>
            </w:r>
          </w:p>
        </w:tc>
        <w:tc>
          <w:tcPr>
            <w:tcW w:w="213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213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5-6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2.6.19. На участках клубов следует предусматривать плоскостные сооружения для клубной работы: площадки для спортивных игр, спортивные трассы, обеспеченные средствами защиты от экстремальных погодных условий (мороз, снег, ветер).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2.6.20. В вахтовых поселках следует предусматривать учреждения культуры по</w:t>
      </w:r>
      <w:r>
        <w:rPr>
          <w:rFonts w:ascii="Times New Roman" w:hAnsi="Times New Roman"/>
          <w:sz w:val="20"/>
        </w:rPr>
        <w:t xml:space="preserve"> таблице 2.6.10.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2.6.10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50"/>
        <w:gridCol w:w="1305"/>
        <w:gridCol w:w="1215"/>
        <w:gridCol w:w="1215"/>
        <w:gridCol w:w="1215"/>
        <w:gridCol w:w="1215"/>
        <w:gridCol w:w="1215"/>
        <w:gridCol w:w="1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Учреждения 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Един. изм.</w:t>
            </w:r>
          </w:p>
        </w:tc>
        <w:tc>
          <w:tcPr>
            <w:tcW w:w="609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Вахтовые поселки с численностью, чел.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35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30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 100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100-300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300-500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500-1000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свыше 1000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3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130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35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Помещения для проведения досуга (комната отдыха, занятий)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05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пос. мест </w:t>
            </w:r>
          </w:p>
        </w:tc>
        <w:tc>
          <w:tcPr>
            <w:tcW w:w="121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</w:tc>
        <w:tc>
          <w:tcPr>
            <w:tcW w:w="121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1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1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1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35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Клуб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0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мест в зритель-ном зале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1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1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50-120 </w:t>
            </w:r>
          </w:p>
        </w:tc>
        <w:tc>
          <w:tcPr>
            <w:tcW w:w="121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120-180 </w:t>
            </w:r>
          </w:p>
        </w:tc>
        <w:tc>
          <w:tcPr>
            <w:tcW w:w="121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 </w:t>
            </w:r>
          </w:p>
        </w:tc>
        <w:tc>
          <w:tcPr>
            <w:tcW w:w="121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Библиотека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0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объект на поселок </w:t>
            </w:r>
          </w:p>
        </w:tc>
        <w:tc>
          <w:tcPr>
            <w:tcW w:w="6090" w:type="dxa"/>
            <w:gridSpan w:val="6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один объект в составе клубного помещения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745" w:type="dxa"/>
            <w:gridSpan w:val="8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Примечание. При численности вахтового поселка свыше 3000 чел. возможн</w:t>
            </w:r>
            <w:r>
              <w:rPr>
                <w:rFonts w:ascii="Times New Roman" w:hAnsi="Times New Roman"/>
                <w:sz w:val="20"/>
              </w:rPr>
              <w:t xml:space="preserve">о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строительство клуба на 400 мест.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E74FE9">
      <w:pPr>
        <w:pStyle w:val="Heading"/>
        <w:jc w:val="center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Предприятия торговли и бытового обслуживания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2.6.21. Предприятия торговли, общественного питания и бытового обслуживания местного значения следует размещать в жилой застройке с радиусом обслуживания не более  300 м в составе местных общественно-торговых  центров, в отдельно стоящих зданиях или во встроенно-пристроенных помещениях жилых и общественных зданий.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2.6.22. Нормы расчета предприятий торговли и общественного питания  в городах и ПГТ с</w:t>
      </w:r>
      <w:r>
        <w:rPr>
          <w:rFonts w:ascii="Times New Roman" w:hAnsi="Times New Roman"/>
          <w:sz w:val="20"/>
        </w:rPr>
        <w:t xml:space="preserve">ледует принимать  по таблице  2.6.11.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2.6.11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610"/>
        <w:gridCol w:w="1755"/>
        <w:gridCol w:w="1125"/>
        <w:gridCol w:w="1215"/>
        <w:gridCol w:w="1125"/>
        <w:gridCol w:w="121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Предприятия </w:t>
            </w:r>
          </w:p>
        </w:tc>
        <w:tc>
          <w:tcPr>
            <w:tcW w:w="175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Един. измер.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на 1000 чел.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5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3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I очередь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34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расчетный срок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5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микрорай- онного и районного значения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городского значения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микрорай- онного и районного значения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городского значения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Предприятия торговли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55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25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15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25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1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Продовольственные магазины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55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82" type="#_x0000_t75" style="width:9pt;height:17.25pt">
                  <v:imagedata r:id="rId2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торг. площ.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68 </w:t>
            </w:r>
          </w:p>
        </w:tc>
        <w:tc>
          <w:tcPr>
            <w:tcW w:w="121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11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78 </w:t>
            </w:r>
          </w:p>
        </w:tc>
        <w:tc>
          <w:tcPr>
            <w:tcW w:w="121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Непродовольственные магазины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55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83" type="#_x0000_t75" style="width:9pt;height:17.25pt">
                  <v:imagedata r:id="rId2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торг. площ.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121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95 </w:t>
            </w:r>
          </w:p>
        </w:tc>
        <w:tc>
          <w:tcPr>
            <w:tcW w:w="11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 </w:t>
            </w:r>
          </w:p>
        </w:tc>
        <w:tc>
          <w:tcPr>
            <w:tcW w:w="121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Комиссионные магазины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z w:val="20"/>
              </w:rPr>
              <w:t xml:space="preserve"> " -</w:t>
            </w:r>
          </w:p>
        </w:tc>
        <w:tc>
          <w:tcPr>
            <w:tcW w:w="11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1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3,5 </w:t>
            </w:r>
          </w:p>
        </w:tc>
        <w:tc>
          <w:tcPr>
            <w:tcW w:w="11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1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Магазины заказов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5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заказ. в день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1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11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1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Рынки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5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2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1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2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1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стационарные помещения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55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 1 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84" type="#_x0000_t75" style="width:9pt;height:17.25pt">
                  <v:imagedata r:id="rId2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торгов. площ.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1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11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1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Площади для сезонной торговли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 " -</w:t>
            </w:r>
          </w:p>
        </w:tc>
        <w:tc>
          <w:tcPr>
            <w:tcW w:w="11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1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11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1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Предприятия общественного питания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5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2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1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2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1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Столовые, рестораны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55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место </w:t>
            </w:r>
          </w:p>
        </w:tc>
        <w:tc>
          <w:tcPr>
            <w:tcW w:w="11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121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  <w:tc>
          <w:tcPr>
            <w:tcW w:w="11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121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1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Магазины кулинарии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55" w:type="dxa"/>
            <w:tcBorders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м</w:t>
            </w:r>
            <w:r>
              <w:rPr>
                <w:rFonts w:ascii="Times New Roman" w:hAnsi="Times New Roman"/>
                <w:sz w:val="20"/>
              </w:rPr>
              <w:pict>
                <v:shape id="_x0000_i1085" type="#_x0000_t75" style="width:9pt;height:17.25pt">
                  <v:imagedata r:id="rId2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торг. площ.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12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121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112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121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 1. Нормы расчета предприятий торговли и общественного питания городского значения могут быть перераспределены между</w:t>
      </w:r>
      <w:r>
        <w:rPr>
          <w:rFonts w:ascii="Times New Roman" w:hAnsi="Times New Roman"/>
          <w:sz w:val="20"/>
        </w:rPr>
        <w:t xml:space="preserve"> структурными элементами города в зависимости от его величины, планировочной структуры, значения в системе расселения.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При развитии сети непродовольственных магазинов и предприятий общественного  питания расчетные нормы допускается уточнять с учетом величины и роли населенных пунктов в системах расселения и других местных условий.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2.6.23. Номенклатура и мощность предприятий торговли в вахтовых поселках следует принимать по табл. 2.6.12.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2.6.12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30"/>
        <w:gridCol w:w="3270"/>
        <w:gridCol w:w="1560"/>
        <w:gridCol w:w="15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Вахтовые поселки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Предприятия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Един. изм.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</w:t>
            </w:r>
            <w:r>
              <w:rPr>
                <w:rFonts w:ascii="Times New Roman" w:hAnsi="Times New Roman"/>
                <w:sz w:val="20"/>
              </w:rPr>
              <w:t xml:space="preserve">-во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 100 чел.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70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Киоск по продаже штучных товаров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объект </w:t>
            </w:r>
          </w:p>
        </w:tc>
        <w:tc>
          <w:tcPr>
            <w:tcW w:w="156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100 до 1000 чел.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7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Магазины смешанной торговли (продовольственных и непродовольственных товаров)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86" type="#_x0000_t75" style="width:9pt;height:17.25pt">
                  <v:imagedata r:id="rId2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торг. площ.</w:t>
            </w:r>
          </w:p>
        </w:tc>
        <w:tc>
          <w:tcPr>
            <w:tcW w:w="156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20-80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1000 чел. и более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270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Магазины:</w:t>
            </w:r>
          </w:p>
        </w:tc>
        <w:tc>
          <w:tcPr>
            <w:tcW w:w="156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560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3270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продовольственных товаров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 же </w:t>
            </w:r>
          </w:p>
        </w:tc>
        <w:tc>
          <w:tcPr>
            <w:tcW w:w="156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30-60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3270" w:type="dxa"/>
            <w:tcBorders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промышленных товаров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Мощность предприятий общественного  питания в вахтовых поселках следует принимать исходя  из нормы 200-250 мест на 1000 жителей с учетом суточного режима работы вахты и 100% охватом  труд</w:t>
      </w:r>
      <w:r>
        <w:rPr>
          <w:rFonts w:ascii="Times New Roman" w:hAnsi="Times New Roman"/>
          <w:sz w:val="20"/>
        </w:rPr>
        <w:t xml:space="preserve">ящихся общественным питанием.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При невозможности или нерегулярности доставки хлеба из базового поселения в вахтовые поселки, в них следует размещать хлебопекарни, мощность  которых  определяется заданием на проектирование.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2.6.24. В вахтовых поселках с численностью трудящихся до 1000 человек бытовое обслуживание (парикмахерские услуги, мелкий ремонт обуви, одежды) должны осуществляться эпизодически выездными бригадами. В поселке с численностью 1000 человек и более следует принимать нормы бытов</w:t>
      </w:r>
      <w:r>
        <w:rPr>
          <w:rFonts w:ascii="Times New Roman" w:hAnsi="Times New Roman"/>
          <w:sz w:val="20"/>
        </w:rPr>
        <w:t>ого обслуживания: 2 производственных рабочих бытового обслуживания на 1000 человек, но не более 10 рабочих на поселок.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вахтовых поселках следует предусматривать установку стиральных автоматов и автоматов самообслуживания химчистки, мощность которых определяется заданием на проектирование.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2.6.25. В вахтовых поселках емкость бань следует принимать по таблице 2.6.13.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2.6.13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260"/>
        <w:gridCol w:w="42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Численность трудящихся вахтового поселка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Количество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 100 чел.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 10 мест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 100 до 500 чел.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10-20 мест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т 500 до 1000 чел.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20-30 мест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1000 чел.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мест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В вахтовых поселках с численностью трудящихся более 1000 человек емкость бань следует рассчитывать по нормативу на 1000 чел. с применением  понижающего  коэффициента 0,9.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2.6.26. Организации и учреждения управления, финансирования и предприятия связи  следует, как правило, размещать в общественных центрах городов, планировочных, жилых и промышленных районов.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Отделение связи следует размещать: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в городах и крупных поселках в жилых райо</w:t>
      </w:r>
      <w:r>
        <w:rPr>
          <w:rFonts w:ascii="Times New Roman" w:hAnsi="Times New Roman"/>
          <w:sz w:val="20"/>
        </w:rPr>
        <w:t xml:space="preserve">нах и микрорайонах из расчета объекта на 6-6,5 тыс. жителей;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в малых постоянных поселках (до 10,0 тыс. чел.) - объект на населенный пункт.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Сберегательные кассы размещается из расчета: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в городах и крупных поселках - объект на 3-8 тыс. чел.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в малых постоянных поселках - объект на населенный пункт.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Блок-станции радиотрансляционной сети следует размещать из расчета 1 объект на 30-50 тыс. человек,  трансформаторные подстанции радиотрансляционной сети - 1 объект на 20-30 тыс. человек.</w:t>
      </w:r>
    </w:p>
    <w:p w:rsidR="00000000" w:rsidRDefault="00E74FE9">
      <w:pPr>
        <w:ind w:firstLine="270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Примечание: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 xml:space="preserve">роектирование телевизионных центров следует производить по специальному  заданию.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2.6.27. Для вахтовых поселков различной численности следует предусматривать помещения для размещения административно-эксплуатационного центра с пунктом связи - 1 объект на поселок.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составе административного центра следует предусматривать размещение административного персонала службы эксплуатации, общественных организаций и пункта связи.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2.7. Санитарно-защитные зоны и озеленение территории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2.7.1. Предприятия в промзонах</w:t>
      </w:r>
      <w:r>
        <w:rPr>
          <w:rFonts w:ascii="Times New Roman" w:hAnsi="Times New Roman"/>
          <w:sz w:val="20"/>
        </w:rPr>
        <w:t xml:space="preserve"> и промузлах следует размещать таким образом, чтобы размеры санитарно-защитной зоны между предприятиями и селитебной застройкой были приняты по расчету. Для этого в панелях и кварталах промзон и промузлов, приближенных к селитебным территориям, следует размещать предприятия V и IV классов  производственных вредностей.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пределах санитарно-защитной зоны предприятий I-II классов вредности по санитарной классификации не  допускается размещать предприятия, относящиеся к IV и V классам.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Промышленные предприят</w:t>
      </w:r>
      <w:r>
        <w:rPr>
          <w:rFonts w:ascii="Times New Roman" w:hAnsi="Times New Roman"/>
          <w:sz w:val="20"/>
        </w:rPr>
        <w:t>ия, требующие создания санитарно-защитных зон размером более 500 м следует размещать за пределами селитебных территорий городов и других населенных пунктов.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2.7.2. Размеры санитарно-защитных  зон предприятий I-II классов производственной вредности, размещаемых в полярной зоне, следует увеличивать в 2 раза, исходя из невозможности ее озеленения.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2.7.3. При расширении, реконструкции, техническом перевооружении предприятий размер санитарно-защитной зоны устанавливается по согласованию с органами Государствен</w:t>
      </w:r>
      <w:r>
        <w:rPr>
          <w:rFonts w:ascii="Times New Roman" w:hAnsi="Times New Roman"/>
          <w:sz w:val="20"/>
        </w:rPr>
        <w:t xml:space="preserve">ного санитарного надзора  на основании расчетов, учитывающих изменения количества, состава, мест размещения, степени очистки вредных выбросов.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невозможности обеспечения требуемого размера санитарно-защитной зоны при расширении предприятий в условиях сложившейся застройки необходима разработка комплекса природоохранных мероприятий (совершенствование очистных устройств, организационно-режимные меры, вывод или перебазирование предприятий, отселение проживающих в санитарно-защитной зоне).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Озеленение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</w:t>
      </w:r>
      <w:r>
        <w:rPr>
          <w:rFonts w:ascii="Times New Roman" w:hAnsi="Times New Roman"/>
          <w:sz w:val="20"/>
        </w:rPr>
        <w:t>7.4. В зависимости от размещения в климатической зоне площадь городских  озелененных  территорий следует принимать: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зависимости от величины города площадь зеленых насаждений следует принимать: для больших городов в зоне среднеобья - 10 кв. м/чел.; в приполярной  зоне - 3-6 м</w:t>
      </w:r>
      <w:r>
        <w:rPr>
          <w:rFonts w:ascii="Times New Roman" w:hAnsi="Times New Roman"/>
          <w:position w:val="-4"/>
          <w:sz w:val="20"/>
        </w:rPr>
        <w:pict>
          <v:shape id="_x0000_i1087" type="#_x0000_t75" style="width:9pt;height:17.25pt">
            <v:imagedata r:id="rId21" o:title=""/>
          </v:shape>
        </w:pict>
      </w:r>
      <w:r>
        <w:rPr>
          <w:rFonts w:ascii="Times New Roman" w:hAnsi="Times New Roman"/>
          <w:sz w:val="20"/>
        </w:rPr>
        <w:t>/чел., в полярной зоне  - 1-2 кв. м/чел.; для средних городов: в зоне среднеобья - 6-8 кв. м/чел., в приполярной зоне - 3-5, в полярной зоне - 1-2 кв. м/чел.; для малых городов - в зоне среднеобья - 4-8 кв. м/чел., в приполярной зоне</w:t>
      </w:r>
      <w:r>
        <w:rPr>
          <w:rFonts w:ascii="Times New Roman" w:hAnsi="Times New Roman"/>
          <w:sz w:val="20"/>
        </w:rPr>
        <w:t xml:space="preserve"> - 2-5 кв. м/чел., в полярной зоне  - 1-2 кв. м/чел.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городскую систему озеленения общего пользования следует включать сады, скверы, парки, бульвары, озеленение спортивных комплексов, озелененные пешеходные и лыжные трассы, парковые и лесопарковые зоны и благоустроенные лесные участки, примыкающие к селитебной территории. В арктических районах скверы, сады и парки исключаются с развитием озеленения в зимних садах.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2.7.5. В системе городского озеленения, в границах селитебной территории следует размещать</w:t>
      </w:r>
      <w:r>
        <w:rPr>
          <w:rFonts w:ascii="Times New Roman" w:hAnsi="Times New Roman"/>
          <w:sz w:val="20"/>
        </w:rPr>
        <w:t xml:space="preserve"> преимущественно сады  и скверы  площадью по 4-6 га со зрелищно-развлекательными, культурно-просветительными, физкультурно-оздоровительными и информационными функциями. Парковые массивы, площадь которых для больших и средних городов следует принимать не менее 10 га, следует выносить на  периферию селитебной территории.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системе озеленения следует предусмотреть в городах и поселках озелененные территории в закрытых помещениях (зимние сады) - в зоне среднеобья из расчета 0,05-0,1 кв. м/чел., в приполярной </w:t>
      </w:r>
      <w:r>
        <w:rPr>
          <w:rFonts w:ascii="Times New Roman" w:hAnsi="Times New Roman"/>
          <w:sz w:val="20"/>
        </w:rPr>
        <w:t>зоне - 0,1-0,15 м</w:t>
      </w:r>
      <w:r>
        <w:rPr>
          <w:rFonts w:ascii="Times New Roman" w:hAnsi="Times New Roman"/>
          <w:position w:val="-4"/>
          <w:sz w:val="20"/>
        </w:rPr>
        <w:pict>
          <v:shape id="_x0000_i1088" type="#_x0000_t75" style="width:9pt;height:17.25pt">
            <v:imagedata r:id="rId21" o:title=""/>
          </v:shape>
        </w:pict>
      </w:r>
      <w:r>
        <w:rPr>
          <w:rFonts w:ascii="Times New Roman" w:hAnsi="Times New Roman"/>
          <w:sz w:val="20"/>
        </w:rPr>
        <w:t>/чел., в полярной зоне - 0,15-0,3 кв. м/чел.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2.8. Сеть улиц, дорог и организация общественного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транспорта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2.8.1. В населенных пунктах необходимо  проектировать комплекс взаимодействующих путей и средств сообщения, состоящий из сооружений,  устройств и видов внешнего и городского (поселкового) транспорта.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Транспортное обслуживание  населения в  городах и других постоянных  населенных пунктах следует предусматривать, исходя из преимущественного использования пассажирского общественного </w:t>
      </w:r>
      <w:r>
        <w:rPr>
          <w:rFonts w:ascii="Times New Roman" w:hAnsi="Times New Roman"/>
          <w:sz w:val="20"/>
        </w:rPr>
        <w:t xml:space="preserve"> транспорта в сочетании с ведомственным (особенно на первых этапах формирования населенного пункта) с учетом экономичности строительства и эксплуатации транспортных сооружений и устройств, надежности рациональной организации и обеспечения безопасности и качества пассажирских и грузовых перевозок.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2.8.2. Оcнoвным требованием формирования транспортно-планировочной структуры населенных мест является обеспечение  высокой степени функциональной компактности  жилой и общественной застройки в результате сокращени</w:t>
      </w:r>
      <w:r>
        <w:rPr>
          <w:rFonts w:ascii="Times New Roman" w:hAnsi="Times New Roman"/>
          <w:sz w:val="20"/>
        </w:rPr>
        <w:t xml:space="preserve">я затрат времени населением на  передвижения. Это обеспечивается путем рациональных взаимного размещения и взаимосвязей зон расселения-тяготения, эффективного  развития путей и средств сообщения.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2.8.3. Следует  выделять три зоны тяготения населения: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- внутригородской зоны тяготения по трудовым и культурно-бытовым целям;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ближней внегородской зоны ежедневного трудового и периодического культурно-бытового, рекреационного тяготения;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дальней внегородской зоны периодического трудового (вахты, экспедиц</w:t>
      </w:r>
      <w:r>
        <w:rPr>
          <w:rFonts w:ascii="Times New Roman" w:hAnsi="Times New Roman"/>
          <w:sz w:val="20"/>
        </w:rPr>
        <w:t>ии), эпизодического  и периодического (соответственно в пределах региональных и локальных систем расселения) культурно-бытового и  рекреационного тяготения.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2.8.4. Внутригородскую зону в малых и средних городах (постоянные поселки, организационно-хозяйственные, базовые центры), следует обслуживать автомобильным транспортом,  на совпадающих пригородно-городских  направлениях - железнодорожным транспортом.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2.8.5. Ближняя  внегородская зона трудового и культурно-бытового тяготения должна  обслуживаться авто</w:t>
      </w:r>
      <w:r>
        <w:rPr>
          <w:rFonts w:ascii="Times New Roman" w:hAnsi="Times New Roman"/>
          <w:sz w:val="20"/>
        </w:rPr>
        <w:t xml:space="preserve">мобильным и железнодорожным транспортом. Дальнюю внегородскую зону трудового и культурно-бытового тяготения необходимо обслуживать автомобильным, железнодорожным и  воздушным (вертолеты, самолеты местных воздушных линий - МВЛ и линий союзного значения  ЛСЗ) транспортом.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2.8.6. Транспортное обеспечение связей вахтового поселка должно  осуществляться  в единой  системе "базовый  населенный  пункт  - вахта", главным образом автомобильным  и железнодорожным  транспортом в сочетании  с ограниченным применением</w:t>
      </w:r>
      <w:r>
        <w:rPr>
          <w:rFonts w:ascii="Times New Roman" w:hAnsi="Times New Roman"/>
          <w:sz w:val="20"/>
        </w:rPr>
        <w:t xml:space="preserve"> для наиболее удаленных  и труднодоступных месторождений  воздушного  транспорта.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2.8.7. Взаимное размещение  всей совокупности мест  приложения труда и селитебных территорий,  а также  развитие  системы общественного пассажирского транспорта населенного пункта на расчетный срок должны обеспечивать  суммарные затраты времени  на ежедневные внутригородские трудовые передвижения  (средние и предельные для 90%  трудовых связей) не выше приведенных в табл. 2.8.1.  Для крупных городов (опорных и наиболее крупны</w:t>
      </w:r>
      <w:r>
        <w:rPr>
          <w:rFonts w:ascii="Times New Roman" w:hAnsi="Times New Roman"/>
          <w:sz w:val="20"/>
        </w:rPr>
        <w:t>х базовых центров)  - центров систем расселения при расчете трудовых связей необходимо учитывать жителей других населенных пунктов, проживающих в 120 мин зоне от центра системы и для других  (базовых и организационно-хозяйственных центров) населенных мест - центров систем - в 90 мин зоне.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2.8.1.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30"/>
        <w:gridCol w:w="2406"/>
        <w:gridCol w:w="1609"/>
        <w:gridCol w:w="221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Города с населением, тыс. чел.</w:t>
            </w:r>
          </w:p>
        </w:tc>
        <w:tc>
          <w:tcPr>
            <w:tcW w:w="2406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Тип города </w:t>
            </w:r>
          </w:p>
        </w:tc>
        <w:tc>
          <w:tcPr>
            <w:tcW w:w="38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Внутригородские затраты времени, мин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406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средние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предельные, для 90% связей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06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опорный </w:t>
            </w:r>
          </w:p>
        </w:tc>
        <w:tc>
          <w:tcPr>
            <w:tcW w:w="1609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221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250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06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базовый </w:t>
            </w:r>
          </w:p>
        </w:tc>
        <w:tc>
          <w:tcPr>
            <w:tcW w:w="16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2219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 и менее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06" w:type="dxa"/>
            <w:tcBorders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базов</w:t>
            </w:r>
            <w:r>
              <w:rPr>
                <w:rFonts w:ascii="Times New Roman" w:hAnsi="Times New Roman"/>
                <w:sz w:val="20"/>
              </w:rPr>
              <w:t>ый организационно-хозяйственный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609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2219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2.8.8. Длительность вахтовых поездок между базовым городом и вахтовым поселком не должна превышать предельных затрат времени на ежедневные поездки к местам приложения труда в базовом городе, суммированных за период длительности вахты.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2.8.9. Транспортно-планировочное решение населенного  пункта должно обеспечивать расчетные затраты времени на поездку с полной дальностью с культурно-бытовыми целями не выше аналогичных показателей по поездкам с трудовой целью.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</w:t>
      </w:r>
      <w:r>
        <w:rPr>
          <w:rFonts w:ascii="Times New Roman" w:hAnsi="Times New Roman"/>
          <w:sz w:val="20"/>
        </w:rPr>
        <w:t xml:space="preserve">.8.10. При проектировании пересадочных узлов внешнего, пригородно-городского и городского транспорта независимо от величины пассажиро-потоков, расчетные затраты времени на пересадку не должны превышать 2 мин без учета  времени  ожидания транспорта. Пункты-пересадки с внешнего транспорта на внутригородской следует устраивать закрытого типа с обогревом в зимнее время переходных галерей, тоннелей и других сооружений.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2.8.11. При расчете пропускной способности, определении классов и параметров магистральной у</w:t>
      </w:r>
      <w:r>
        <w:rPr>
          <w:rFonts w:ascii="Times New Roman" w:hAnsi="Times New Roman"/>
          <w:sz w:val="20"/>
        </w:rPr>
        <w:t>лично-дорожной сети следует принимать данные по объему транспортного  движения в период максимального использования легкового автомобиля. Провозную способность общественного пассажирского транспорта следует рассчитывать на период минимального использования легкового автомобиля, а также на период максимального прибытия временного населения.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2.8.12. В городах не допускается проектирование транзитных скоростных дорог.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2.8.13. В городах, расположенных или проектируемых в климатическом районе IГ, плотность маг</w:t>
      </w:r>
      <w:r>
        <w:rPr>
          <w:rFonts w:ascii="Times New Roman" w:hAnsi="Times New Roman"/>
          <w:sz w:val="20"/>
        </w:rPr>
        <w:t>истральных улиц и дорог должна приниматься на расчетный срок в пределах 4000 м/км</w:t>
      </w:r>
      <w:r>
        <w:rPr>
          <w:rFonts w:ascii="Times New Roman" w:hAnsi="Times New Roman"/>
          <w:position w:val="-4"/>
          <w:sz w:val="20"/>
        </w:rPr>
        <w:pict>
          <v:shape id="_x0000_i1089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, а в районе IД - 3200-3800 м/км</w:t>
      </w:r>
      <w:r>
        <w:rPr>
          <w:rFonts w:ascii="Times New Roman" w:hAnsi="Times New Roman"/>
          <w:position w:val="-4"/>
          <w:sz w:val="20"/>
        </w:rPr>
        <w:pict>
          <v:shape id="_x0000_i1090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территории городской застройки.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2.8.14. Плотность сети линий пассажирского общественного транспорта необходимо принимать - 3000 м/км</w:t>
      </w:r>
      <w:r>
        <w:rPr>
          <w:rFonts w:ascii="Times New Roman" w:hAnsi="Times New Roman"/>
          <w:position w:val="-4"/>
          <w:sz w:val="20"/>
        </w:rPr>
        <w:pict>
          <v:shape id="_x0000_i1091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Расстояния между остановочными пунктами пассажирского общественного транспорта в пределах города и других населенных пунктов следует принимать для автобуса, троллейбуса и трамвая не более 350 м, для экспресс-автобуса, троллейбуса - 600-700 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2.9. Улицы, дор</w:t>
      </w:r>
      <w:r>
        <w:rPr>
          <w:rFonts w:ascii="Times New Roman" w:hAnsi="Times New Roman"/>
          <w:sz w:val="20"/>
        </w:rPr>
        <w:t xml:space="preserve">оги и площади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2.9.1. Ширину улиц в пределах красных линий для городов следует принимать: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магистральные улицы общегородского значения регулируемого движения 45-50 м, районного значения - регулируемого движения - 25-30 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городах, размещаемых в климатическом районе IГ, в случае 4-5 этажной застройки допускается сокращение ширины магистралей общегородского значения в красных линиях до 40 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Улично-дорожная сеть собственно вахтового поселка должна быть представлена системой проездов, с шириной основных -</w:t>
      </w:r>
      <w:r>
        <w:rPr>
          <w:rFonts w:ascii="Times New Roman" w:hAnsi="Times New Roman"/>
          <w:sz w:val="20"/>
        </w:rPr>
        <w:t xml:space="preserve"> 6,0 м, остальных - 4,0 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Ширина жилых улиц в красных линиях при малоэтажной застройке применяется не менее 25 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обеспечения противопожарных мероприятий должна быть предусмотрена возможность пожарного подъезда ко всем зданиям путем организации спланированных полос, расчищаемых от снега.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Внешняя автомобильная дорога, проходящая касательно к селитебной территории вахтового поселка, должна быть не менее 8,0 м, без учета полос для складирования снега. В пределах застройки вдоль автодороги необходимо пр</w:t>
      </w:r>
      <w:r>
        <w:rPr>
          <w:rFonts w:ascii="Times New Roman" w:hAnsi="Times New Roman"/>
          <w:sz w:val="20"/>
        </w:rPr>
        <w:t>едусматривать тротуары.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2.9.2. В пределах проезжей части улиц и дорог при объеме снегопереноса более 200 м</w:t>
      </w:r>
      <w:r>
        <w:rPr>
          <w:rFonts w:ascii="Times New Roman" w:hAnsi="Times New Roman"/>
          <w:position w:val="-4"/>
          <w:sz w:val="20"/>
        </w:rPr>
        <w:pict>
          <v:shape id="_x0000_i1092" type="#_x0000_t75" style="width:9pt;height:17.25pt">
            <v:imagedata r:id="rId6" o:title=""/>
          </v:shape>
        </w:pict>
      </w:r>
      <w:r>
        <w:rPr>
          <w:rFonts w:ascii="Times New Roman" w:hAnsi="Times New Roman"/>
          <w:sz w:val="20"/>
        </w:rPr>
        <w:t>/м за зиму следует предусматривать полосу с твердым покрытием шириной от 2,0 до 3,5 м в зависимости от ширины проезжей части для временного складирования снега. В бесснежный период она может использоваться в качестве резерва увеличения пропускной способности улиц и дорог.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районах с объемами снегопереноса более 200 м</w:t>
      </w:r>
      <w:r>
        <w:rPr>
          <w:rFonts w:ascii="Times New Roman" w:hAnsi="Times New Roman"/>
          <w:position w:val="-4"/>
          <w:sz w:val="20"/>
        </w:rPr>
        <w:pict>
          <v:shape id="_x0000_i1093" type="#_x0000_t75" style="width:9pt;height:17.25pt">
            <v:imagedata r:id="rId6" o:title=""/>
          </v:shape>
        </w:pict>
      </w:r>
      <w:r>
        <w:rPr>
          <w:rFonts w:ascii="Times New Roman" w:hAnsi="Times New Roman"/>
          <w:sz w:val="20"/>
        </w:rPr>
        <w:t>/м за зиму при проектировании улиц и дорог и их пересечений необходимо избегать уст</w:t>
      </w:r>
      <w:r>
        <w:rPr>
          <w:rFonts w:ascii="Times New Roman" w:hAnsi="Times New Roman"/>
          <w:sz w:val="20"/>
        </w:rPr>
        <w:t>ройства выемок.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2.9.3. Ширина полосы пешеходного движения должна приниматься 1,0 м. Пешеходные пути в микрорайонах должны трассироваться с учетом защиты их от ветра и снегозаносов. Пешеходные направления вахтового поселка предусматриваются шириной 4,0 м с учетом возможности проезда специальных машин (уборочных, пожарных).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2.10. Сооружения и предприятия по обслуживанию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автомобилей и других транспортных средств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2.10.1. Для обеспечения собственных нужд вахтового поселка в автопарке (вахтовые, грузовые и сп</w:t>
      </w:r>
      <w:r>
        <w:rPr>
          <w:rFonts w:ascii="Times New Roman" w:hAnsi="Times New Roman"/>
          <w:sz w:val="20"/>
        </w:rPr>
        <w:t>ециальные автомашины - уборочные и др.) предусматривается организация единого гаражного хозяйства (с элементами   ремонтной базы), размещаемого в производственно-складской зоне поселка.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2.10.2. Для населенных мест, расположенных в климатическом районе IГ, допускается строительство гаражей боксового типа, которые следует размещать в санитарно-защитных зонах предприятий и транспортных коммуникаций. В этом случае допускается размещать гаражи вне территории микрорайонов при соблюдении нормативного радиуса пеше</w:t>
      </w:r>
      <w:r>
        <w:rPr>
          <w:rFonts w:ascii="Times New Roman" w:hAnsi="Times New Roman"/>
          <w:sz w:val="20"/>
        </w:rPr>
        <w:t xml:space="preserve">ходной доступности.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2.10.3. При определении мощности автозаправочных станций и станций технического обслуживания автомашин индивидуального пользования для городов с продолжительностью отопительного периода более 275 дней в году допускается уменьшение требуемых количеств постов и колонок на 25%.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2.11. Инженерное оборудование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2.11.1. Системы инженерного оборудования населенных пунктов следует, как правило, предусматривать централизованными.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2.11.2. При проектировании сооружений водоснабжения следует учи</w:t>
      </w:r>
      <w:r>
        <w:rPr>
          <w:rFonts w:ascii="Times New Roman" w:hAnsi="Times New Roman"/>
          <w:sz w:val="20"/>
        </w:rPr>
        <w:t>тывать требования бесперебойности водоснабжения (необходимость подогрева транспортируемой воды, создание циркуляции и т.п.).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2.11.3. Ориентировочные расчетные размеры территории для размещения водопроводных очистных сооружений при разработке генеральных планов населенных мест принимать по табл. 2.11.1.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2.11.1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260"/>
        <w:gridCol w:w="42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Производительность очистных сооружений, тыс. 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94" type="#_x0000_t75" style="width:9pt;height:17.25pt">
                  <v:imagedata r:id="rId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/сут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Площадь участка, га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 0,1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св. 0,1 до 0,2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св. 0,2 до 0,4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0,4-0,8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0,8-12,5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1,0-2,0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2,8-3,0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8,7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2.11.4. Сооружения для подготовки природных вод, очистки сточных вод и обработки их осадков, а также насосные установки следует применять, как правило, заводского изготовления комплектно-блочной поставки. В прочих случаях предусматривать в зданиях и сооружениях максимальное использование узлов, блоков, щитов и других укрупненных монтажных заготовок заводского изготовления.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2.11.5. Емкостные сооружения допускается проектировать стальными с утепле</w:t>
      </w:r>
      <w:r>
        <w:rPr>
          <w:rFonts w:ascii="Times New Roman" w:hAnsi="Times New Roman"/>
          <w:sz w:val="20"/>
        </w:rPr>
        <w:t>нием эффективными теплоизоляционными материалами в виде плит, матов.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2.11.6. Проектирование водозаборных сооружений должно вестись в соответствии со СНиП 2.04.02-84, приложение 14.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2.11.7. В качестве водоприемных устройств следует принимать затопленные водоприемники с водоприемным фронтом из съемных фильтрующих кассет с дополнительными защитными устройствами от  шуги и наносов.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2.11.8. Затопленные водоприемники, как правило, следует принимать деревянными ряжевыми с загрузкой камнем или бетонными блоками.</w:t>
      </w:r>
      <w:r>
        <w:rPr>
          <w:rFonts w:ascii="Times New Roman" w:hAnsi="Times New Roman"/>
          <w:sz w:val="20"/>
        </w:rPr>
        <w:t xml:space="preserve"> Допускается для загрузки применять мешки из синтетических материалов, заполненные песчаным грузом.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2.11.9. В отдаленных и труднодоступных местах допускается применение плавучих водозаборов в блочном исполнении, изготавливаемых заводом объединения  "Сибкомплектмонтаж" в г. Тюмени.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2.11.10. Градирни следует проектировать, как правило, с двумя зонами оросителей (внутренней и внешней), разделенными перегородками, с автономным распределением по зонам.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2.11.11. В районах вечномерзлых грунтов градирни следует </w:t>
      </w:r>
      <w:r>
        <w:rPr>
          <w:rFonts w:ascii="Times New Roman" w:hAnsi="Times New Roman"/>
          <w:sz w:val="20"/>
        </w:rPr>
        <w:t>предусматривать на сваях с теплоизоляционной защитой грунта от оттаивания.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Обшивки градирен должны быть герметичными, исключающими протечки воды.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Удельный вынос капельной влаги через водоуловительные решетки не должен превышать 0,01% расхода оборотной воды.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2.11.12. В системы оборотного водоснабжения целесообразно включать теплоутилизаторы, используя тепло на первичный подогрев водяного или воздушного отопления, а также горячего водоснабжения.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2.11.13. С целью сокращения протяженности коммуникаций и пов</w:t>
      </w:r>
      <w:r>
        <w:rPr>
          <w:rFonts w:ascii="Times New Roman" w:hAnsi="Times New Roman"/>
          <w:sz w:val="20"/>
        </w:rPr>
        <w:t>ышения коэффициента застройки необходимо охладители (градирни, воздухоохладители) размещать в непроизводственной близости от технологических потребителей охлажденной воды.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2.11.14. Для отдельных сооружений, расположенных вне зоны предприятий, допускается обеспечение привозной водой при водопотреблении до 2 м</w:t>
      </w:r>
      <w:r>
        <w:rPr>
          <w:rFonts w:ascii="Times New Roman" w:hAnsi="Times New Roman"/>
          <w:position w:val="-4"/>
          <w:sz w:val="20"/>
        </w:rPr>
        <w:pict>
          <v:shape id="_x0000_i1095" type="#_x0000_t75" style="width:9pt;height:17.25pt">
            <v:imagedata r:id="rId6" o:title=""/>
          </v:shape>
        </w:pict>
      </w:r>
      <w:r>
        <w:rPr>
          <w:rFonts w:ascii="Times New Roman" w:hAnsi="Times New Roman"/>
          <w:sz w:val="20"/>
        </w:rPr>
        <w:t>/сут.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2.11.15. Следует применять централизованную систему канализации, позволяющую осуществлять сбор и отвод сточных вод от возможно большего числа объектов.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2.11.16. Площади участков, необходимые дл</w:t>
      </w:r>
      <w:r>
        <w:rPr>
          <w:rFonts w:ascii="Times New Roman" w:hAnsi="Times New Roman"/>
          <w:sz w:val="20"/>
        </w:rPr>
        <w:t>я размещения канализационных очистных  сооружений, следует принимать возможно меньшими, стремясь к более компактному расположению отдельных сооружений. Очистные сооружения следует размещать, как правило, в закрытых отапливаемых, по возможности сблокированных зданиях.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Площади участков канализационных очистных сооружений ориентировочно можно принимать по таблице 2.11.2.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2.11.2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260"/>
        <w:gridCol w:w="42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Производительность очистных сооружений, тыс. 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96" type="#_x0000_t75" style="width:9pt;height:17.25pt">
                  <v:imagedata r:id="rId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/сут.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Площадь участка, га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 0,05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0,05-0,2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0,2-</w:t>
            </w:r>
            <w:r>
              <w:rPr>
                <w:rFonts w:ascii="Times New Roman" w:hAnsi="Times New Roman"/>
                <w:sz w:val="20"/>
              </w:rPr>
              <w:t>0,4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0,4-0,7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0,7-17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17-40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40-130 </w:t>
            </w:r>
          </w:p>
        </w:tc>
        <w:tc>
          <w:tcPr>
            <w:tcW w:w="426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426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2.11.17. Разрыв между канализационными насосными станциями и близ расположенными сооружениями следует назначать, исходя из методов использования вечномерзлых грунтов в качестве основания. По санитарным соображениям разрыв должен быть не менее 20 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2.11.18. Для обеззараживания природных и очистных сточных вод следует применять прямой электролиз или раствор гипохлорита натрия полученной электролизом поваренной соли или минерализованн</w:t>
      </w:r>
      <w:r>
        <w:rPr>
          <w:rFonts w:ascii="Times New Roman" w:hAnsi="Times New Roman"/>
          <w:sz w:val="20"/>
        </w:rPr>
        <w:t>ой воды на сооружениях производительностью до 1000 м</w:t>
      </w:r>
      <w:r>
        <w:rPr>
          <w:rFonts w:ascii="Times New Roman" w:hAnsi="Times New Roman"/>
          <w:position w:val="-4"/>
          <w:sz w:val="20"/>
        </w:rPr>
        <w:pict>
          <v:shape id="_x0000_i1097" type="#_x0000_t75" style="width:9pt;height:17.25pt">
            <v:imagedata r:id="rId6" o:title=""/>
          </v:shape>
        </w:pict>
      </w:r>
      <w:r>
        <w:rPr>
          <w:rFonts w:ascii="Times New Roman" w:hAnsi="Times New Roman"/>
          <w:sz w:val="20"/>
        </w:rPr>
        <w:t>/сут.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2.11.19. В вахтовых поселках с численностью населения до 150 человек и сроком эксплуатации не более 1,5 лет допускается устройство децентрализованных систем: водоснабжение - от водоразборных колонок; при отсутствии в районе размещения вахтового поселка подземных вод и поверхностных источников может быть использована привозная вода; канализация - местные выгреба, наружные утепленные и освещенные уборные.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2.11.20. Среднесуточное удельное водопотребл</w:t>
      </w:r>
      <w:r>
        <w:rPr>
          <w:rFonts w:ascii="Times New Roman" w:hAnsi="Times New Roman"/>
          <w:sz w:val="20"/>
        </w:rPr>
        <w:t>ение в вахтовых поселках при централизованной системе водоснабжения следует принимать в зависимости от местных условий в пределах 100-120 л на одного человека в сутки.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2.11.21. При ограниченном дебите местных источников водоснабжения допускается снижение указанных расходов на 30-50%.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условиях обеспечения привозной водой среднесуточная норма может быть принята 30-50 л в сутки.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2.11.22. При обеспечении привозной водой должны быть предусмотрены емкости, рассчитанные на хранение двухсуточного запаса воды т</w:t>
      </w:r>
      <w:r>
        <w:rPr>
          <w:rFonts w:ascii="Times New Roman" w:hAnsi="Times New Roman"/>
          <w:sz w:val="20"/>
        </w:rPr>
        <w:t>олько на хозяйственно-питьевые нужды, размещаемые в отапливаемых помещениях.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2.11.23. Выбор схемы централизованного теплоснабжения населенных пунктов и источника тепла следует производить на основании технико-экономического сравнения вариантов с учетом объема и характера теплопотребления.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децентрализованном теплоснабжении для целей отопления, вентиляции и горячего водоснабжения допускается применять автономные генераторы тепла, работающие на местных видах топлива. При соответствующем технико-экономиче</w:t>
      </w:r>
      <w:r>
        <w:rPr>
          <w:rFonts w:ascii="Times New Roman" w:hAnsi="Times New Roman"/>
          <w:sz w:val="20"/>
        </w:rPr>
        <w:t>ском обосновании и по согласованию с организациями Минэнерго СССР и Госплана СССР допускается использование электроэнергии.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2.11.24. Для спутников должен предусматриваться теплоноситель с температурой, допускаемой по условиям прокладки сопровождаемого трубопровода.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2.11.25. Для зданий, в которых не допускаются перерывы в подаче теплоты (больницы, родильные дома, детские ясли-сады с круглосуточным пребыванием детей и др.) надежность теплоснабжения должна обеспечиваться одним из следующих решений: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устан</w:t>
      </w:r>
      <w:r>
        <w:rPr>
          <w:rFonts w:ascii="Times New Roman" w:hAnsi="Times New Roman"/>
          <w:sz w:val="20"/>
        </w:rPr>
        <w:t>овка резервных источников теплоты, обеспечивающих отопление этих зданий в полном объеме, в том числе с использованием электроэнергии;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двустороннее питание от разных тепломагистралей.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2.11.26. Количество и единичную производительность котлоагрегатов, устанавливаемых в котельной, следует выбирать по расчетной производительности котельной, которая определяется по нагрузкам максимально-зимнего режима. При этом в случае выхода из строя наибольшего по производительности котла оставшиеся должны обеспечить отпу</w:t>
      </w:r>
      <w:r>
        <w:rPr>
          <w:rFonts w:ascii="Times New Roman" w:hAnsi="Times New Roman"/>
          <w:sz w:val="20"/>
        </w:rPr>
        <w:t>ск тепла: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 на технологическое теплоснабжение и системы вентиляции - в количестве, определяемом минимально допустимыми нагрузками (независимо от температуры наружного воздуха);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на отопление - в количестве, определяемом в режиме наиболее холодной пятидневки;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- на горячее водоснабжение - в количестве, определяемом режимом наиболее холодного месяца.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этом должен быть проверен режим работы котлоагрегата  для теплого периода года.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Максимальное количество котлов, устанавливаемых в котельной, определяе</w:t>
      </w:r>
      <w:r>
        <w:rPr>
          <w:rFonts w:ascii="Times New Roman" w:hAnsi="Times New Roman"/>
          <w:sz w:val="20"/>
        </w:rPr>
        <w:t xml:space="preserve">тся на основании технико-экономических расчетов.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котельной должна предусматриваться установка не менее двух котлов.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Инженерные сети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2.11.27. Способ прокладки коммуникаций в зависимости от мерзлотно-грунтовых гидрологических условий строительства, а также от величины плотности застройки населенного пункта и назначения трубопроводов следует предусматривать подземным, наземным и надземным, при этом наиболее рационально применение совмещенной прокладки труб, таблица 2.11.3.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2.11.28. Прокладку водопровод</w:t>
      </w:r>
      <w:r>
        <w:rPr>
          <w:rFonts w:ascii="Times New Roman" w:hAnsi="Times New Roman"/>
          <w:sz w:val="20"/>
        </w:rPr>
        <w:t>ов с теплопроводами в полузаглубленных каналах следует осуществлять в населенных пунктах в условиях высокотемпературных мерзлых грунтов или при высоком уровне грунтовых вод. Прокладку в полузаглубленных непроходных каналах следует осуществлять рядом с проездом. При этом плита, перекрывающая канал, укладывается на 10-15 см выше проезда и используется в качестве тротуара.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2.11.29. Прокладку коммуникаций в проветриваемых подпольях зданий с подвеской труб к цокольным перекрытиям следует применять в населенных </w:t>
      </w:r>
      <w:r>
        <w:rPr>
          <w:rFonts w:ascii="Times New Roman" w:hAnsi="Times New Roman"/>
          <w:sz w:val="20"/>
        </w:rPr>
        <w:t>пунктах, где объемно-планировочные решения позволяют осуществить этот способ. При этом запрещается установка арматуры на трубах в пределах проветриваемого подполья.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2.11.30. При трассировке водоводов вдоль автодорог, проходящих по болотам или в сильно обводненных грунтах, прокладку водоводов, как правило, предусматривать совместно с земляным полотном автодорог с размещением их в откосной ее части или специальной присыпке.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2.11.31. Для протяженных водоводов, проходящих по болотам III типа, при отсутствии а</w:t>
      </w:r>
      <w:r>
        <w:rPr>
          <w:rFonts w:ascii="Times New Roman" w:hAnsi="Times New Roman"/>
          <w:sz w:val="20"/>
        </w:rPr>
        <w:t>втодорог у камер переключений и колодцев с задвижками, следует предусматривать временные вертолетные площадки.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2.11.3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Способы и типы прокладки трубопроводов в зависимости от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грунтовых условий и условий застройки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200"/>
        <w:gridCol w:w="15"/>
        <w:gridCol w:w="1245"/>
        <w:gridCol w:w="15"/>
        <w:gridCol w:w="1335"/>
        <w:gridCol w:w="30"/>
        <w:gridCol w:w="975"/>
        <w:gridCol w:w="15"/>
        <w:gridCol w:w="1691"/>
        <w:gridCol w:w="559"/>
        <w:gridCol w:w="142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Типы прокладки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Способы прокладки 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Вид грунтов </w:t>
            </w:r>
          </w:p>
        </w:tc>
        <w:tc>
          <w:tcPr>
            <w:tcW w:w="10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Вид трубо- проводов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Виды прокладки 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Условия и область применения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102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Подземная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60" w:type="dxa"/>
            <w:gridSpan w:val="2"/>
            <w:tcBorders>
              <w:top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20" w:type="dxa"/>
            <w:gridSpan w:val="3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691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0" w:type="dxa"/>
            <w:gridSpan w:val="2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Раздельная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350" w:type="dxa"/>
            <w:gridSpan w:val="2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Непроса- дочные, малопро- садочные </w:t>
            </w:r>
          </w:p>
        </w:tc>
        <w:tc>
          <w:tcPr>
            <w:tcW w:w="1020" w:type="dxa"/>
            <w:gridSpan w:val="3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В; К </w:t>
            </w:r>
          </w:p>
        </w:tc>
        <w:tc>
          <w:tcPr>
            <w:tcW w:w="1691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Непосредственно в грунте в пределах деятельного</w:t>
            </w:r>
            <w:r>
              <w:rPr>
                <w:rFonts w:ascii="Times New Roman" w:hAnsi="Times New Roman"/>
                <w:sz w:val="20"/>
              </w:rPr>
              <w:t xml:space="preserve"> слоя на глубине более 0,7 м от поверхности земли преимущественно без теплоизоляции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Преимущественно на территории застройки средних населенных мест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0" w:type="dxa"/>
            <w:gridSpan w:val="2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350" w:type="dxa"/>
            <w:gridSpan w:val="2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20" w:type="dxa"/>
            <w:gridSpan w:val="3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691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непроходных каналах из сборного или монолитного железобетона или непосредственно в грунте в теплоизоляции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 же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0" w:type="dxa"/>
            <w:gridSpan w:val="2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Совме- щенная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350" w:type="dxa"/>
            <w:gridSpan w:val="2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Непро- садочные, малопро- садочные, проса- дочные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gridSpan w:val="3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В; К </w:t>
            </w:r>
          </w:p>
        </w:tc>
        <w:tc>
          <w:tcPr>
            <w:tcW w:w="1691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одной траншее с каналом тепловой сети </w:t>
            </w:r>
          </w:p>
        </w:tc>
        <w:tc>
          <w:tcPr>
            <w:tcW w:w="1984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 же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0" w:type="dxa"/>
            <w:gridSpan w:val="2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350" w:type="dxa"/>
            <w:gridSpan w:val="2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20" w:type="dxa"/>
            <w:gridSpan w:val="3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691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каналах и тоннелях из сборного или монолитного железобетона с кольцевой изоляцией тр</w:t>
            </w:r>
            <w:r>
              <w:rPr>
                <w:rFonts w:ascii="Times New Roman" w:hAnsi="Times New Roman"/>
                <w:sz w:val="20"/>
              </w:rPr>
              <w:t>уб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территории застройки крупных населенных мест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Наземная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60" w:type="dxa"/>
            <w:gridSpan w:val="2"/>
            <w:tcBorders>
              <w:top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Совме- щенная </w:t>
            </w:r>
          </w:p>
        </w:tc>
        <w:tc>
          <w:tcPr>
            <w:tcW w:w="1350" w:type="dxa"/>
            <w:gridSpan w:val="2"/>
            <w:tcBorders>
              <w:top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Непро- садочные, малопро- садочные, проса- дочные </w:t>
            </w:r>
          </w:p>
        </w:tc>
        <w:tc>
          <w:tcPr>
            <w:tcW w:w="1020" w:type="dxa"/>
            <w:gridSpan w:val="3"/>
            <w:tcBorders>
              <w:top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В, К, Т </w:t>
            </w:r>
          </w:p>
        </w:tc>
        <w:tc>
          <w:tcPr>
            <w:tcW w:w="1691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каналах из сборного железобетона на сплошной подстилке или на земляных призмах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 же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0" w:type="dxa"/>
            <w:gridSpan w:val="2"/>
            <w:tcBorders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350" w:type="dxa"/>
            <w:gridSpan w:val="2"/>
            <w:tcBorders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20" w:type="dxa"/>
            <w:gridSpan w:val="3"/>
            <w:tcBorders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В, К, Т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691" w:type="dxa"/>
            <w:tcBorders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полузаглубленных каналах из железобетона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территории застройки средних и крупных населенных мест, особенно при высоком уровне грунтовых вод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Надземная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60" w:type="dxa"/>
            <w:gridSpan w:val="2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Раздельная </w:t>
            </w:r>
          </w:p>
        </w:tc>
        <w:tc>
          <w:tcPr>
            <w:tcW w:w="1350" w:type="dxa"/>
            <w:gridSpan w:val="2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Проса- дочные, сильно- проса- дочные </w:t>
            </w:r>
          </w:p>
        </w:tc>
        <w:tc>
          <w:tcPr>
            <w:tcW w:w="1020" w:type="dxa"/>
            <w:gridSpan w:val="3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В, К, Т </w:t>
            </w:r>
          </w:p>
        </w:tc>
        <w:tc>
          <w:tcPr>
            <w:tcW w:w="1691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 низким опорам, по высоким опор</w:t>
            </w:r>
            <w:r>
              <w:rPr>
                <w:rFonts w:ascii="Times New Roman" w:hAnsi="Times New Roman"/>
                <w:sz w:val="20"/>
              </w:rPr>
              <w:t xml:space="preserve">ам, по эстакадам, мачтам, конструкциям зданий и сооружений </w:t>
            </w:r>
          </w:p>
        </w:tc>
        <w:tc>
          <w:tcPr>
            <w:tcW w:w="1984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застроенной территории в районах малоэтажной застройки, также в селитебных территориях, расположенных на сильнольдо- насыщенных  вечномерзлых грунтах. При переходах через лощины, овраги, ручьи и другие препятствия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0" w:type="dxa"/>
            <w:gridSpan w:val="2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Совме- щенная </w:t>
            </w:r>
          </w:p>
        </w:tc>
        <w:tc>
          <w:tcPr>
            <w:tcW w:w="1350" w:type="dxa"/>
            <w:gridSpan w:val="2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Сильнопро- садочные </w:t>
            </w:r>
          </w:p>
        </w:tc>
        <w:tc>
          <w:tcPr>
            <w:tcW w:w="1020" w:type="dxa"/>
            <w:gridSpan w:val="3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В, К, Т </w:t>
            </w:r>
          </w:p>
        </w:tc>
        <w:tc>
          <w:tcPr>
            <w:tcW w:w="1691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каналах из сборного железобетона или непосредственно по низким опорам, высоким опорам, конструкциям зданий и сооружений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984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 же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0" w:type="dxa"/>
            <w:gridSpan w:val="2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045" w:type="dxa"/>
            <w:gridSpan w:val="8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- водопровод, К - канализация, Т - тепл</w:t>
            </w:r>
            <w:r>
              <w:rPr>
                <w:rFonts w:ascii="Times New Roman" w:hAnsi="Times New Roman"/>
                <w:sz w:val="20"/>
              </w:rPr>
              <w:t>опровод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5" w:type="dxa"/>
            <w:gridSpan w:val="11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Примечание: ..... канализацию выполнять согласно Изменениям № 1 СНиП 2.04.03-85. п. 9.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5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Наземная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60" w:type="dxa"/>
            <w:gridSpan w:val="2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Совме- щенная </w:t>
            </w:r>
          </w:p>
        </w:tc>
        <w:tc>
          <w:tcPr>
            <w:tcW w:w="1365" w:type="dxa"/>
            <w:gridSpan w:val="2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Непро- садочные, малопро- садочные; проса- дочные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75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В, К, Т </w:t>
            </w:r>
          </w:p>
        </w:tc>
        <w:tc>
          <w:tcPr>
            <w:tcW w:w="2265" w:type="dxa"/>
            <w:gridSpan w:val="3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каналах из сборного железобетона на сплошной подстилке или на земляных призмах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4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 же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5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0" w:type="dxa"/>
            <w:gridSpan w:val="2"/>
            <w:tcBorders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365" w:type="dxa"/>
            <w:gridSpan w:val="2"/>
            <w:tcBorders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75" w:type="dxa"/>
            <w:tcBorders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В, К, Т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265" w:type="dxa"/>
            <w:gridSpan w:val="3"/>
            <w:tcBorders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полузаглубленных каналах из железобетона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42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территории застройки средних и крупных населенных мест, особенно при высоком уровне грунтовых вод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5" w:type="dxa"/>
            <w:gridSpan w:val="2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Надземная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60" w:type="dxa"/>
            <w:gridSpan w:val="2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365" w:type="dxa"/>
            <w:gridSpan w:val="2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7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65" w:type="dxa"/>
            <w:gridSpan w:val="3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4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5" w:type="dxa"/>
            <w:gridSpan w:val="2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0" w:type="dxa"/>
            <w:gridSpan w:val="2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Раздельная </w:t>
            </w:r>
          </w:p>
        </w:tc>
        <w:tc>
          <w:tcPr>
            <w:tcW w:w="1365" w:type="dxa"/>
            <w:gridSpan w:val="2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Проса- дочные, си</w:t>
            </w:r>
            <w:r>
              <w:rPr>
                <w:rFonts w:ascii="Times New Roman" w:hAnsi="Times New Roman"/>
                <w:sz w:val="20"/>
              </w:rPr>
              <w:t>льно- просадоч-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ные </w:t>
            </w:r>
          </w:p>
        </w:tc>
        <w:tc>
          <w:tcPr>
            <w:tcW w:w="975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В, К, Т </w:t>
            </w:r>
          </w:p>
        </w:tc>
        <w:tc>
          <w:tcPr>
            <w:tcW w:w="2265" w:type="dxa"/>
            <w:gridSpan w:val="3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 низким опорам, по высоким опорам, по эстакадам, мачтам, конструкциям зданий и сооружений </w:t>
            </w:r>
          </w:p>
        </w:tc>
        <w:tc>
          <w:tcPr>
            <w:tcW w:w="14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застроенной территории в районах малоэтажной застройки, также в селитебных территориях, расположенных на сильнольдо- насыщенных вечномерзлых грунтах. При переходах через лощины, овраги, ручьи и другие препятствия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5" w:type="dxa"/>
            <w:gridSpan w:val="2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0" w:type="dxa"/>
            <w:gridSpan w:val="2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Совме- щенная </w:t>
            </w:r>
          </w:p>
        </w:tc>
        <w:tc>
          <w:tcPr>
            <w:tcW w:w="1365" w:type="dxa"/>
            <w:gridSpan w:val="2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Сильно- просадочные </w:t>
            </w:r>
          </w:p>
        </w:tc>
        <w:tc>
          <w:tcPr>
            <w:tcW w:w="975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В, К, Т.</w:t>
            </w:r>
          </w:p>
        </w:tc>
        <w:tc>
          <w:tcPr>
            <w:tcW w:w="2265" w:type="dxa"/>
            <w:gridSpan w:val="3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каналах из сборного железобетона или непосредственно по низким опорам, высоким опорам, конструкциям зданий и сооруже</w:t>
            </w:r>
            <w:r>
              <w:rPr>
                <w:rFonts w:ascii="Times New Roman" w:hAnsi="Times New Roman"/>
                <w:sz w:val="20"/>
              </w:rPr>
              <w:t xml:space="preserve">ний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4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 же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15" w:type="dxa"/>
            <w:gridSpan w:val="2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60" w:type="dxa"/>
            <w:gridSpan w:val="2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030" w:type="dxa"/>
            <w:gridSpan w:val="7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- водопровод, К - канализация, Т - теплопровод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5" w:type="dxa"/>
            <w:gridSpan w:val="11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Примечание: ...... канализацию выполнять согласно Изменениям № 1 СНиП 2.04.03-85. п.9.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2.11.32. Тип наружной изоляции водоводов должен приниматься в зависимости от коррозионных свойств грунтов, в соответствии с Руководством по защите от коррозии покрытиями наружной поверхности трубопроводов в Среднем Приобье РД 39-3-1294-85.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2.11.33. Участки водоводов, прокладываемых в подводных траншеях через болота или затапливаемые поймы, а так</w:t>
      </w:r>
      <w:r>
        <w:rPr>
          <w:rFonts w:ascii="Times New Roman" w:hAnsi="Times New Roman"/>
          <w:sz w:val="20"/>
        </w:rPr>
        <w:t>же в обводненных грунтах, должны быть проверены на всплытие согласно СНиП 2.05.06-85 (п.п. 8.23-8.32). Для обеспечения устойчивости положения водоводов следует предусматривать специальные конструкции и устройства для балластировки, как правило, бетонные утяжелители конструкции Миннефтегазстроя СССР.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2.11.34. Пересечение водоводов с водными преградами: реками, а также озерами, глубиной слоя воды свыше 2,0 м,  соответствующей уровню воды 5% обеспеченности, необходимо предусматривать водными переходами (дюкер</w:t>
      </w:r>
      <w:r>
        <w:rPr>
          <w:rFonts w:ascii="Times New Roman" w:hAnsi="Times New Roman"/>
          <w:sz w:val="20"/>
        </w:rPr>
        <w:t xml:space="preserve">ами). На озерах с указанной глубиной и шириной более 200 м и реках шириной более 75 м при уровне воды 90% обеспеченности, а также на судоходных реках необходимо предусматривать на обоих берегах (в начале и в конце дюкера) запорную арматуру (задвижки) для переключения водоводов.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2.11.35. Системы производственного, оборотного водоснабжения, производственной, бытовой канализации и внутренних водостоков, как правило, следует проектировать из стальных и пластмассовых труб.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Системы внутреннего хозяйственно-пит</w:t>
      </w:r>
      <w:r>
        <w:rPr>
          <w:rFonts w:ascii="Times New Roman" w:hAnsi="Times New Roman"/>
          <w:sz w:val="20"/>
        </w:rPr>
        <w:t>ьевого, противопожарного водоснабжения следует проектировать, как правило, из стальных водогазопроводных оцинкованных и черных труб.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Чугунные трубы допускается использовать при прокладке в проходных каналах или при бесканальной прокладке в устойчивых грунтах. Для наружных водопроводных сетей и водоводов допускается применять стальные трубы и арматуру.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2.11.36. При подземной прокладке сетей в вечномерзлых грунтах следует предусматривать попутный дренаж.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2.11.37. В поселках на промыслах и трассах магистрал</w:t>
      </w:r>
      <w:r>
        <w:rPr>
          <w:rFonts w:ascii="Times New Roman" w:hAnsi="Times New Roman"/>
          <w:sz w:val="20"/>
        </w:rPr>
        <w:t>ьных трубопроводов (в том числе временных и вахтовых, сооружаемых из блочно-комплектных элементов) должна предусматриваться, как правило, надземная прокладка тепловых сетей преимущественно из блоков трубопроводов заводского изготовления.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2.11.38. В других населенных пунктах, находящихся в зоне вечномерзлых грунтов, - прокладка тепловых сетей должна предусматриваться преимущественно в каналах, расположенных выше поверхности земли с использованием перекрытий каналов в качестве тротуаров. Допускается при обос</w:t>
      </w:r>
      <w:r>
        <w:rPr>
          <w:rFonts w:ascii="Times New Roman" w:hAnsi="Times New Roman"/>
          <w:sz w:val="20"/>
        </w:rPr>
        <w:t>новании подземная прокладка. Находящихся вне зоны вечномерзлых грунтов - прокладка тепловых сетей должна предусматриваться подземной бесканальной. Канальная прокладка допускается при соответствующем обосновании.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совмещенной прокладки тепловых сетей с другими инженерными коммуникациями в пределах селитебных территорий, расположенных в зонах распространения вечномерзлых грунтов и застраиваемых зданиями 5 этажей и выше, следует применять, как правило, проходные каналы.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Минимальные расстояния трубопроводо</w:t>
      </w:r>
      <w:r>
        <w:rPr>
          <w:rFonts w:ascii="Times New Roman" w:hAnsi="Times New Roman"/>
          <w:sz w:val="20"/>
        </w:rPr>
        <w:t xml:space="preserve">в тепловых сетей до зданий и сооружений при прокладке в зоне вечномерзлых грунтов приведены в таблице 2.11.4.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2.11.4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710"/>
        <w:gridCol w:w="1710"/>
        <w:gridCol w:w="1710"/>
        <w:gridCol w:w="1710"/>
        <w:gridCol w:w="1695"/>
        <w:gridCol w:w="15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Способ прокладки 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Диаметр труб, мм </w:t>
            </w:r>
          </w:p>
        </w:tc>
        <w:tc>
          <w:tcPr>
            <w:tcW w:w="171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Класс зданий и сооружений </w:t>
            </w:r>
          </w:p>
        </w:tc>
        <w:tc>
          <w:tcPr>
            <w:tcW w:w="34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Расстояния, м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связные грунты </w:t>
            </w:r>
          </w:p>
        </w:tc>
        <w:tc>
          <w:tcPr>
            <w:tcW w:w="17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фильтрующие грунты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Надземная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 200 </w:t>
            </w:r>
          </w:p>
        </w:tc>
        <w:tc>
          <w:tcPr>
            <w:tcW w:w="171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I-II класса </w:t>
            </w:r>
          </w:p>
        </w:tc>
        <w:tc>
          <w:tcPr>
            <w:tcW w:w="171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1710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III-IV класса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более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I-II класса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III-IV класса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Подземная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 300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I-II класса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III-IV класса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более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I-II класса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III-IV класса </w:t>
            </w:r>
          </w:p>
        </w:tc>
        <w:tc>
          <w:tcPr>
            <w:tcW w:w="17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1710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 1. При понижении местности от трубопровода к сооружению расстояния в связных грунтах увеличиваются на 10-15%, а в фильтрующих - на 20-30%.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При понижении местности от сооружения к трубопроводу расстояния между ними могут быть уменьшены на 20%.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Расстояния от трубопроводов при надземной прокладке не нормируются.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2.11.42. Величина заглубления каналов в вечномерзлых грунтах не нормируется, а для других грунтов принимается по главе СНиП II-33-73</w:t>
      </w:r>
      <w:r>
        <w:rPr>
          <w:rFonts w:ascii="Times New Roman" w:hAnsi="Times New Roman"/>
          <w:position w:val="-4"/>
          <w:sz w:val="20"/>
        </w:rPr>
        <w:pict>
          <v:shape id="_x0000_i1098" type="#_x0000_t75" style="width:9pt;height:17.25pt">
            <v:imagedata r:id="rId24" o:title=""/>
          </v:shape>
        </w:pict>
      </w:r>
      <w:r>
        <w:rPr>
          <w:rFonts w:ascii="Times New Roman" w:hAnsi="Times New Roman"/>
          <w:sz w:val="20"/>
        </w:rPr>
        <w:t xml:space="preserve"> на про</w:t>
      </w:r>
      <w:r>
        <w:rPr>
          <w:rFonts w:ascii="Times New Roman" w:hAnsi="Times New Roman"/>
          <w:sz w:val="20"/>
        </w:rPr>
        <w:t>ектирование тепловых сетей.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2.11.43. При надземной прокладке, а также в полузаглубленных каналах обратные трубопроводы тепловых сетей допускается прокладывать в одной изоляционной конструкции с трубопроводами водоснабжения, раствора пенообразователя для пожаротушения.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2.11.44. При совместной прокладке в одной траншее с трубопроводами тепловой сети трубопроводы другого назначения должны находиться в зоне теплового воздействия трубопроводов тепловой сети.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Рекомендуемые расстояния от трубопроводов тепловой</w:t>
      </w:r>
      <w:r>
        <w:rPr>
          <w:rFonts w:ascii="Times New Roman" w:hAnsi="Times New Roman"/>
          <w:sz w:val="20"/>
        </w:rPr>
        <w:t xml:space="preserve"> сети составляют: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до трубопроводов водоснабжения - 0,2-0,3 м;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до трубопроводов канализации, дренажа и водостоков - 0,4 м;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до трубопроводов газоснабжения (давлением до 0,3 МПа) - 0,6 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2.11.45. В качестве покровного слоя для трубопроводов тепловых сетей следует применять: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при подземной канальной прокладке рулонные полимерные материалы;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- при подземной бесканальной - сплошную полимерную оболочку из полиэтилена высокого давления. Допускается применение полимерных рулонных материалов; 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при на</w:t>
      </w:r>
      <w:r>
        <w:rPr>
          <w:rFonts w:ascii="Times New Roman" w:hAnsi="Times New Roman"/>
          <w:sz w:val="20"/>
        </w:rPr>
        <w:t>дземной прокладке - алюминиевый лист и сталь тонколистовую оцинкованную.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2.11.46. В качестве покровного слоя для подземной (канальной и бесканальной) прокладки следует применять сплошную полимерную оболочку из полиэтилена высокого давления, допускается применять полимерные рулонные материалы, а для надземной прокладки следует применять алюминиевый лист и сталь тонколистовую оцинкованную.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2.11.47. Трубопроводы тепловых сетей должны приниматься из низколегированных марок сталей.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2.11.48. Арматура тепловых </w:t>
      </w:r>
      <w:r>
        <w:rPr>
          <w:rFonts w:ascii="Times New Roman" w:hAnsi="Times New Roman"/>
          <w:sz w:val="20"/>
        </w:rPr>
        <w:t>сетей при расчетной температуре наружного воздуха ниже -40</w:t>
      </w:r>
      <w:r>
        <w:rPr>
          <w:rFonts w:ascii="Times New Roman" w:hAnsi="Times New Roman"/>
          <w:position w:val="-4"/>
          <w:sz w:val="20"/>
        </w:rPr>
        <w:pict>
          <v:shape id="_x0000_i1099" type="#_x0000_t75" style="width:9pt;height:17.25pt">
            <v:imagedata r:id="rId25" o:title=""/>
          </v:shape>
        </w:pict>
      </w:r>
      <w:r>
        <w:rPr>
          <w:rFonts w:ascii="Times New Roman" w:hAnsi="Times New Roman"/>
          <w:sz w:val="20"/>
        </w:rPr>
        <w:t>С должна приниматься из низколегированной стали. Допускается применение арматуры из углеродистой стали при условии ее хранения, транспортировании и монтажа при температуре наружного воздуха не ниже -20</w:t>
      </w:r>
      <w:r>
        <w:rPr>
          <w:rFonts w:ascii="Times New Roman" w:hAnsi="Times New Roman"/>
          <w:position w:val="-4"/>
          <w:sz w:val="20"/>
        </w:rPr>
        <w:pict>
          <v:shape id="_x0000_i1100" type="#_x0000_t75" style="width:9pt;height:17.25pt">
            <v:imagedata r:id="rId25" o:title=""/>
          </v:shape>
        </w:pict>
      </w:r>
      <w:r>
        <w:rPr>
          <w:rFonts w:ascii="Times New Roman" w:hAnsi="Times New Roman"/>
          <w:sz w:val="20"/>
        </w:rPr>
        <w:t>С.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Санитарная очистка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2.11.49. В климатическом подрайоне IГ наиболее рациональной  является планово-регулярное удаление твердых бытовых отходов с территорий населенных мест по системе "несменяемых" контейнеров.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2.11.50. Для климатического подрайон</w:t>
      </w:r>
      <w:r>
        <w:rPr>
          <w:rFonts w:ascii="Times New Roman" w:hAnsi="Times New Roman"/>
          <w:sz w:val="20"/>
        </w:rPr>
        <w:t>а IД следует предусматривать мусоровозы, в которых исключено смерзание твердых  бытовых отходов при транспортировке.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2.11.51. В городах и поселках следует предусматривать утилизацию  твердых бытовых отходов (мусоросжигание и т.п.).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 Проектирование промышленных предприятий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 Особенности проектирования генеральных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планов промышленных предприятий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3.1.1. Нормы настоящей главы должны  соблюдаться при проектировании  генеральных планов промышленных предприятий, размещаемых в составе промышленных район</w:t>
      </w:r>
      <w:r>
        <w:rPr>
          <w:rFonts w:ascii="Times New Roman" w:hAnsi="Times New Roman"/>
          <w:sz w:val="20"/>
        </w:rPr>
        <w:t>ов, промышленных зон, промышленных узлов, а также отдельных новых, расширяемых и реконструируемых предприятий, складов, предприятий и объектов транспорта и коммунально-бытового назначения.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Настоящая глава применяется совместно со СНиП II-89-80.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3.1.2. При выборе направления трассы внешнего транспорта и основных внутриплощадочных проездов в районах с количеством переносимого снега более 200 м</w:t>
      </w:r>
      <w:r>
        <w:rPr>
          <w:rFonts w:ascii="Times New Roman" w:hAnsi="Times New Roman"/>
          <w:position w:val="-4"/>
          <w:sz w:val="20"/>
        </w:rPr>
        <w:pict>
          <v:shape id="_x0000_i1101" type="#_x0000_t75" style="width:9pt;height:17.25pt">
            <v:imagedata r:id="rId26" o:title=""/>
          </v:shape>
        </w:pict>
      </w:r>
      <w:r>
        <w:rPr>
          <w:rFonts w:ascii="Times New Roman" w:hAnsi="Times New Roman"/>
          <w:sz w:val="20"/>
        </w:rPr>
        <w:t xml:space="preserve"> на 1 м фронта переноса в год, при равнинном рельефе открытой местности, направление трассы и проездов следует рас</w:t>
      </w:r>
      <w:r>
        <w:rPr>
          <w:rFonts w:ascii="Times New Roman" w:hAnsi="Times New Roman"/>
          <w:sz w:val="20"/>
        </w:rPr>
        <w:t>полагать под углом не более 20</w:t>
      </w:r>
      <w:r>
        <w:rPr>
          <w:rFonts w:ascii="Times New Roman" w:hAnsi="Times New Roman"/>
          <w:position w:val="-4"/>
          <w:sz w:val="20"/>
        </w:rPr>
        <w:pict>
          <v:shape id="_x0000_i1102" type="#_x0000_t75" style="width:9pt;height:17.25pt">
            <v:imagedata r:id="rId25" o:title=""/>
          </v:shape>
        </w:pict>
      </w:r>
      <w:r>
        <w:rPr>
          <w:rFonts w:ascii="Times New Roman" w:hAnsi="Times New Roman"/>
          <w:sz w:val="20"/>
        </w:rPr>
        <w:t xml:space="preserve"> к преобладающему направлению переноса снега по розе снегопереноса.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невозможности или нецелесообразности обеспечения сквозного проветривания территории, в целях уменьшения снегозаносимости территории, высокие (выше 12 м) здания следует располагать с наветренной стороны предприятия перпендикулярно потоку переносимого снега.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Входы в здания и сооружения следует, как правило, располагать с наветренной стороны.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назначении  очередности застройки в первую очередь, как пр</w:t>
      </w:r>
      <w:r>
        <w:rPr>
          <w:rFonts w:ascii="Times New Roman" w:hAnsi="Times New Roman"/>
          <w:sz w:val="20"/>
        </w:rPr>
        <w:t>авило, следует застраивать наветренный фронт промышленного предприятия. Развитие территории надлежит  предусматривать с подветренной стороны площадки.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3.1.3. В районах со снегопереносом более 200 м</w:t>
      </w:r>
      <w:r>
        <w:rPr>
          <w:rFonts w:ascii="Times New Roman" w:hAnsi="Times New Roman"/>
          <w:position w:val="-4"/>
          <w:sz w:val="20"/>
        </w:rPr>
        <w:pict>
          <v:shape id="_x0000_i1103" type="#_x0000_t75" style="width:9pt;height:17.25pt">
            <v:imagedata r:id="rId6" o:title=""/>
          </v:shape>
        </w:pict>
      </w:r>
      <w:r>
        <w:rPr>
          <w:rFonts w:ascii="Times New Roman" w:hAnsi="Times New Roman"/>
          <w:sz w:val="20"/>
        </w:rPr>
        <w:t xml:space="preserve"> на 1 м фронта переноса в год стоянки для общественного и личного транспорта следует защищать от снегозаносов.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3.1.4. Функциональное зонирование территории предприятий должно обеспечивать наиболее компактное размещение объектов, относящихся к единому пусковому комплексу.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3.1.5. Для пешеходных путей на территор</w:t>
      </w:r>
      <w:r>
        <w:rPr>
          <w:rFonts w:ascii="Times New Roman" w:hAnsi="Times New Roman"/>
          <w:sz w:val="20"/>
        </w:rPr>
        <w:t>ии предприятий допускается устройство неотапливаемых галерей.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3.1.6. Застройку территории предприятий следует формировать в виде зданий простой конфигурации в целях исключения снежных заносов. Образование замкнутых и полузамкнутых дворов, как правило, не допускается.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3.1.7. Следует предусматривать блокирование основных, складских и подсобно-производственных объектов с целью сведения к минимуму перевозок материалов по территории предприятия наземными видами транспорта.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3.1.8. На территории промышленных пр</w:t>
      </w:r>
      <w:r>
        <w:rPr>
          <w:rFonts w:ascii="Times New Roman" w:hAnsi="Times New Roman"/>
          <w:sz w:val="20"/>
        </w:rPr>
        <w:t>едприятий инженерные коммуникации следует, как правило, прокладывать наземными и подземными. Не допускается, как   правило, укладка инженерных коммуникаций под проезжей частью автодорог. Подземные коммуникации, пересекающие дорогу, следует укладывать с теплоизоляцией, не допускающей оттаивание мерзлого грунта.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3.1.9. Трубопроводы, которые могут создавать тепловое воздействие на грунты собственных оснований и близрасположенных  зданий и сооружений, следует, как правило, прокладывать выше уровня земли. Подзе</w:t>
      </w:r>
      <w:r>
        <w:rPr>
          <w:rFonts w:ascii="Times New Roman" w:hAnsi="Times New Roman"/>
          <w:sz w:val="20"/>
        </w:rPr>
        <w:t>мную прокладку следует производить только в совмещении с другими коммуникациями и, как правило, в проходных вентилируемых каналах.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Прокладка в непроходных каналах и траншеях допускается на участках с непросадочными грунтами.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3.1.10. Трассы надземных инженерных коммуникаций допускается совмещать с попутными транспортными и пешеходными галереями.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3.2. Благоустройство промышленной территории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3.2.1. Благоустройство промышленных территорий следует предусматривать как единую систему, способствующую нейтрали</w:t>
      </w:r>
      <w:r>
        <w:rPr>
          <w:rFonts w:ascii="Times New Roman" w:hAnsi="Times New Roman"/>
          <w:sz w:val="20"/>
        </w:rPr>
        <w:t>зации неблагоприятных природно-климатических факторов (защита от снегопереноса, ветра, обеспечение инсоляции) и повышающие архитектурно-художественные качества застройки.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3.2.2. Для  благоустройства площадок предприятий и территорий промышленных узлов  в качестве основной формы озеленения следует применять: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- в тундре и лесотундре газон и переносные формы озеленения (контейнеры);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в северной  и средней тайге газон и групповые посадки деревьев и кустарников.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Рядовая посадка деревьев и кустарников по п</w:t>
      </w:r>
      <w:r>
        <w:rPr>
          <w:rFonts w:ascii="Times New Roman" w:hAnsi="Times New Roman"/>
          <w:sz w:val="20"/>
        </w:rPr>
        <w:t>ериметру промплощадки  не  допускается. Рядовые посадки следует  проектировать только на  тех участках, перед и за которыми  допускается скопление снега.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3.2.3. Площади участков, предназначенных для озеленения в пределах ограды предприятия, следует определять: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для зоны среднеобья - 2-3 м</w:t>
      </w:r>
      <w:r>
        <w:rPr>
          <w:rFonts w:ascii="Times New Roman" w:hAnsi="Times New Roman"/>
          <w:position w:val="-4"/>
          <w:sz w:val="20"/>
        </w:rPr>
        <w:pict>
          <v:shape id="_x0000_i1104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на одного работающего в наиболее многочисленной смене;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для приполярной зоны - 1-2 м</w:t>
      </w:r>
      <w:r>
        <w:rPr>
          <w:rFonts w:ascii="Times New Roman" w:hAnsi="Times New Roman"/>
          <w:position w:val="-4"/>
          <w:sz w:val="20"/>
        </w:rPr>
        <w:pict>
          <v:shape id="_x0000_i1105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на одного работающего в наиболее многочисленной смене;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для полярной зоны до 1 м</w:t>
      </w:r>
      <w:r>
        <w:rPr>
          <w:rFonts w:ascii="Times New Roman" w:hAnsi="Times New Roman"/>
          <w:position w:val="-4"/>
          <w:sz w:val="20"/>
        </w:rPr>
        <w:pict>
          <v:shape id="_x0000_i1106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на одного работающего в наиболее многочисленн</w:t>
      </w:r>
      <w:r>
        <w:rPr>
          <w:rFonts w:ascii="Times New Roman" w:hAnsi="Times New Roman"/>
          <w:sz w:val="20"/>
        </w:rPr>
        <w:t>ой смене.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В площадь озеленения включаются "зимние сады" внутри зданий и сооружений.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3.2.4. На  территории предприятия следует предусматривать зоны отдыха трудящихся, разделяя их по использованию на зимние и летние.  Зимние площадки отдыха следует проектировать в зданиях, а летние на защищенных от ветра (в пределах аэродинамической тени зданий), хорошо инсолируемых участках.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3.2.5. Размеры площадок летнего отдыха следует принимать из расчета не более 0,5 м</w:t>
      </w:r>
      <w:r>
        <w:rPr>
          <w:rFonts w:ascii="Times New Roman" w:hAnsi="Times New Roman"/>
          <w:position w:val="-4"/>
          <w:sz w:val="20"/>
        </w:rPr>
        <w:pict>
          <v:shape id="_x0000_i1107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на одного работающего в наиболее мн</w:t>
      </w:r>
      <w:r>
        <w:rPr>
          <w:rFonts w:ascii="Times New Roman" w:hAnsi="Times New Roman"/>
          <w:sz w:val="20"/>
        </w:rPr>
        <w:t>огочисленной смене.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3.2.6. При благоустройстве промышленных территорий не следует создавать открытые пространства с наветренной стороны протяженностью более 300 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3.2.7. Для локальной ветрозащиты следует использовать наветренный фронт зеленых насаждений в пределах 2 высот для непродуваемых преград и 4 высоты для продуваемых. Подветренный фронт ветрозащитных насаждений следует использовать в пределах до 10 высот.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3.2.8. Расстояние от зданий и сооружений до деревьев и кустарников следует принимать не мене</w:t>
      </w:r>
      <w:r>
        <w:rPr>
          <w:rFonts w:ascii="Times New Roman" w:hAnsi="Times New Roman"/>
          <w:sz w:val="20"/>
        </w:rPr>
        <w:t>е указанных в таблице 3.2.1.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3.2.9. Для ограждения площадок предприятий следует использовать решетчатые и сетчатые ограды.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3.2.1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260"/>
        <w:gridCol w:w="2130"/>
        <w:gridCol w:w="213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Элементы зданий и сооружений </w:t>
            </w:r>
          </w:p>
        </w:tc>
        <w:tc>
          <w:tcPr>
            <w:tcW w:w="42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Расстояние м, до оси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ствола дерева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кустарника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Наружные грани стен зданий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213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Оси железнодорожных путей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213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Мачты и опоры осветительной сети, трамвая, колонны галерей, эстакады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213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Подошвы откосов и др.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 </w:t>
            </w:r>
          </w:p>
        </w:tc>
        <w:tc>
          <w:tcPr>
            <w:tcW w:w="213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Наружные грани подошвы подпорных стенок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213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Край тротуаров и садовых дорожек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213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Бортовой камень или кромка укрепленной полосы обочины дороги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 </w:t>
            </w:r>
          </w:p>
        </w:tc>
        <w:tc>
          <w:tcPr>
            <w:tcW w:w="213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Подземные сети: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30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газопроводов, канализации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213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тепловых сетей (от стенок канала)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2,7 </w:t>
            </w:r>
          </w:p>
        </w:tc>
        <w:tc>
          <w:tcPr>
            <w:tcW w:w="213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трубопроводов тепловых сетей при бесканальной прокладке водопроводов, дренажей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2,7 </w:t>
            </w:r>
          </w:p>
        </w:tc>
        <w:tc>
          <w:tcPr>
            <w:tcW w:w="213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силовых кабелей и кабелей связи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3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2,7 </w:t>
            </w:r>
          </w:p>
        </w:tc>
        <w:tc>
          <w:tcPr>
            <w:tcW w:w="213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3.2.10. Открытые зоны отдыха следует размещать с южной и юго-западной сторон зданий на расстоянии не менее 5 метров от стены, т.е. на инсолируемых  участках с подветренной  </w:t>
      </w:r>
      <w:r>
        <w:rPr>
          <w:rFonts w:ascii="Times New Roman" w:hAnsi="Times New Roman"/>
          <w:sz w:val="20"/>
        </w:rPr>
        <w:t>стороны в  пределах аэродинамической тени.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3.2.11. При размещении площадок отдыха на незащищенных открытых участках необходимо организовать противоветровые устройства: ветрозащитные конструкции зеленых насаждений, защитные стенки, павильоны, веранды.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3.2.12. Благоприятным участком для размещения зон отдыха является склон южной и юго-западной ориентации, в связи с чем при вертикальной планировке следует создавать уклон, обеспечивающий повышенную инсоляцию и прогревание поверхности.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3.2.13. На многолетнеме</w:t>
      </w:r>
      <w:r>
        <w:rPr>
          <w:rFonts w:ascii="Times New Roman" w:hAnsi="Times New Roman"/>
          <w:sz w:val="20"/>
        </w:rPr>
        <w:t xml:space="preserve">рзлых грунтах следует поверхность пешеходных  дорог и площадок отдыха покрывать прочным  покрытием на насыпном гравийном или другом теплоизолирующем основании.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3.2.14. Для зон отдыха, используемых только в кратковременный летний период, следует применять сборно-разборные конструкции настилов  площадок и тротуаров, приподнятых над поверхностью земли, и переносное оборудование.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3.2.15. Посадки деревьев и кустарников в зонах отдыха следует производить однородными группами в одной  посадочной яме по 4-5 экзе</w:t>
      </w:r>
      <w:r>
        <w:rPr>
          <w:rFonts w:ascii="Times New Roman" w:hAnsi="Times New Roman"/>
          <w:sz w:val="20"/>
        </w:rPr>
        <w:t xml:space="preserve">мпляров с расстояниями между группами 2-5 м или многорядными полосами в траншеях с организацией по периметру 2-х метровой одернованной полосы для питания корней. 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3.3. Производственные здания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Общая часть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3.3.1. Производственные здания следует проектировать с учетом требований СНиП 2.09.02-85.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3.3.2. Производственные здания в труднодоступных районах следует применять, как правило, из легких металлических конструкций  комплектной поставки.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площади зданий до 10000 м</w:t>
      </w:r>
      <w:r>
        <w:rPr>
          <w:rFonts w:ascii="Times New Roman" w:hAnsi="Times New Roman"/>
          <w:position w:val="-4"/>
          <w:sz w:val="20"/>
        </w:rPr>
        <w:pict>
          <v:shape id="_x0000_i1108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следует применять, как правило, </w:t>
      </w:r>
      <w:r>
        <w:rPr>
          <w:rFonts w:ascii="Times New Roman" w:hAnsi="Times New Roman"/>
          <w:sz w:val="20"/>
        </w:rPr>
        <w:t>здания-модули, поставляемые комплектно, с инженерным обеспечением, а также здания, сблокированные из нескольких модулей.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пионерный период строительства, для баз строительной индустрии, а также для других объектов, подлежащих последующему перебазированию, следует применять, как правило, мобильные здания полной заводской  готовности (сборно-разборные и контейнерного типа), блокируя  при необходимости в одно здание 2 и более мобильных зданий.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Объемно-планировочные и конструктивные решения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3.3.3. Следует</w:t>
      </w:r>
      <w:r>
        <w:rPr>
          <w:rFonts w:ascii="Times New Roman" w:hAnsi="Times New Roman"/>
          <w:sz w:val="20"/>
        </w:rPr>
        <w:t xml:space="preserve"> проводить общеплощадочную унификацию объемно-планировочных решений и блокирование, применяя на одной площадке ограниченное число различных типов зданий.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3.3.4. Объемно-планировочные решения следует принимать с учетом необходимости максимально возможного сокращения площади ограждающих конструкций. Допускается модуль для назначения размера пролета принимать равным 3 м.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3.3.5. Следует ограничивать площадь остекления в наружных стенах, предусматривая, как правило, совмещенное освещение для всех разрядов зри</w:t>
      </w:r>
      <w:r>
        <w:rPr>
          <w:rFonts w:ascii="Times New Roman" w:hAnsi="Times New Roman"/>
          <w:sz w:val="20"/>
        </w:rPr>
        <w:t>тельных  работ, с минимальным значением КЕО, установленным СНиП II-4-79.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зданиях и помещениях, где не предусматривается постоянное пребывание людей, допускается естественное освещение не предусматривать.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3.3.6. Следует предусматривать зальный принцип компоновки  производственных  зданий с минимальным количеством внутренних стен и перегородок необходимым по противопожарным и санитарным требованиям.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3.3.7. Прокладка  кабелей, трубопроводов и других коммуникаций  по фасадам зданий при наружном  неоргани</w:t>
      </w:r>
      <w:r>
        <w:rPr>
          <w:rFonts w:ascii="Times New Roman" w:hAnsi="Times New Roman"/>
          <w:sz w:val="20"/>
        </w:rPr>
        <w:t xml:space="preserve">зованном водоотводе не допускается.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3.3.8. Вводы в здания инженерных коммуникаций следует предусматривать, группируя их в ограниченном числе мест.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3.3.9. Въезды в здания следует, как правило, предусматривать со стороны помещений с сухим и нормальным влажностным режимом.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3.3.10. Оборудование,  являющееся  источником выделения влаги, следует максимально удалять от наружных стен.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3.З.11. Помещения с мокрым влажностным режимом не следует размещать у наружных  стен зданий. В случаях, когда избегать такого </w:t>
      </w:r>
      <w:r>
        <w:rPr>
          <w:rFonts w:ascii="Times New Roman" w:hAnsi="Times New Roman"/>
          <w:sz w:val="20"/>
        </w:rPr>
        <w:t>решения невозможно, их следует размещать с подветренной стороны здания с устройством при входах отапливаемых тамбуров.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3.3.12. Цехи и отделения, выделяющие вредные выбросы, следует размещать у наружных стен с подветренной стороны. Горячие цехи также следует размещать с подветренной стороны.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3.3.13. Ширина производственных зданий, проектируемых в зонах вечной мерзлоты с холодным  подпольем, как правило, не должна превышать  48 м.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3.3.14. Здания высотой до 15 м при длине ската до 36 м следует проектироват</w:t>
      </w:r>
      <w:r>
        <w:rPr>
          <w:rFonts w:ascii="Times New Roman" w:hAnsi="Times New Roman"/>
          <w:sz w:val="20"/>
        </w:rPr>
        <w:t>ь, как правило, с наружным (неорганизованным) водостоком.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3.3.15. Ворота следует применять, как правило, раздвижные или откатные. Ворота в наружных стенах, как правило, не должны быть размещены друг против друга.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3.3.16. На путях эвакуации следует применять только распашные двери.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3.4. Административно-бытовые здания и помещения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3.4.1. При устройстве отдельно стоящих зданий проходных пунктов следует включать в их состав помещения для ожидания пассажирского транспорта. При этом остановочные пункты транс</w:t>
      </w:r>
      <w:r>
        <w:rPr>
          <w:rFonts w:ascii="Times New Roman" w:hAnsi="Times New Roman"/>
          <w:sz w:val="20"/>
        </w:rPr>
        <w:t>порта следует размещать не далее 10 м от проходных.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территорию  промышленного предприятия допускается предусматривать ввод пассажирского транспорта с остановочными пунктами, как правило, не  далее 10 м от входов в административно-бытовые знания. В вестибюлях административно-бытовых  зданий следует предусматривать места ожидания пассажирского транспорта и проходные пункты - согласно технологическому заданию или ведомственным нормам проектирования.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вахтовой организации труда, предусматривающей разме</w:t>
      </w:r>
      <w:r>
        <w:rPr>
          <w:rFonts w:ascii="Times New Roman" w:hAnsi="Times New Roman"/>
          <w:sz w:val="20"/>
        </w:rPr>
        <w:t>щение жилья не далее 300 м от административно-бытовых зданий, места ожидания транспорта допускается не устраивать.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размещении жилой зоны вахтовых комплексов не далее 300 м от административно-бытовых зданий следует предусматривать кооперированное использование площадок для отдыха и занятий спортом между жилой и административно-бытовой зонами комплекса.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3.4.2. Помещения администрации и различных видов обслуживания работающих следует, как правило, проектировать в одном административно-бытовом здании. Ко</w:t>
      </w:r>
      <w:r>
        <w:rPr>
          <w:rFonts w:ascii="Times New Roman" w:hAnsi="Times New Roman"/>
          <w:sz w:val="20"/>
        </w:rPr>
        <w:t xml:space="preserve">личество административно-бытовых зданий на территории предприятия должно быть минимально возможным, исходя из условия обеспечения нормируемых расстояний до объектов обслуживания.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3.4.3. Административно-бытовые здания следует, как правило, проектировать встроенными и пристроенными к производственным зданиям. Административно-бытовые здания (помещения) целесообразно размещать в местах блокирования производственных зданий  (строительно-технологические секции, модулей).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Отдельно стоящие административно-бытовы</w:t>
      </w:r>
      <w:r>
        <w:rPr>
          <w:rFonts w:ascii="Times New Roman" w:hAnsi="Times New Roman"/>
          <w:sz w:val="20"/>
        </w:rPr>
        <w:t>е здания и пункты питания должны быть соединены с производственными зданиями утепленными переходами.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не предусматривать утепленных переходов для производств, размещаемых в нескольких отапливаемых отдельно стоящих зданиях и сооружениях, число рабочих в которых не превышает 15 человек.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этом случае необходимо предусмотреть помещения  для хранения уличной рабочей одежды площадью из расчета 0,6 м</w:t>
      </w:r>
      <w:r>
        <w:rPr>
          <w:rFonts w:ascii="Times New Roman" w:hAnsi="Times New Roman"/>
          <w:position w:val="-4"/>
          <w:sz w:val="20"/>
        </w:rPr>
        <w:pict>
          <v:shape id="_x0000_i1109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на одного  работающего, но не менее 9 м</w:t>
      </w:r>
      <w:r>
        <w:rPr>
          <w:rFonts w:ascii="Times New Roman" w:hAnsi="Times New Roman"/>
          <w:position w:val="-4"/>
          <w:sz w:val="20"/>
        </w:rPr>
        <w:pict>
          <v:shape id="_x0000_i1110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3.4.4. При проектировании административно-бытовых зданий </w:t>
      </w:r>
      <w:r>
        <w:rPr>
          <w:rFonts w:ascii="Times New Roman" w:hAnsi="Times New Roman"/>
          <w:sz w:val="20"/>
        </w:rPr>
        <w:t>следует избегать сложных по конфигурации планов и различных  высот отдельных частей зданий. Фасады зданий следует проектировать  без выступающих элементов, задерживающих снег и влагу.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3.4.5. При проектировании административно-бытовых зданий не следует, как правило, предусматривать оконные проемы с наветренной стороны по зимней розе ветров.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Окна должны иметь минимальные размеры, обеспечивающие нормируемый уровень освещенности.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Конструкции заполнений оконных проемов и их примыканий к стеновым ограждениям д</w:t>
      </w:r>
      <w:r>
        <w:rPr>
          <w:rFonts w:ascii="Times New Roman" w:hAnsi="Times New Roman"/>
          <w:sz w:val="20"/>
        </w:rPr>
        <w:t>олжны быть непроницаемы для ветра и влаги.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3.4.6. Здания, предназначенные для строительства на вечномерзлых грунтах при сохранении их в мерзлом состоянии, следует проектировать без подвальных и цокольных этажей. В таких зданиях следует, как правило, предусматривать дополнительный тамбур со входом на 0,45 м выше уровня земли и выходом на уровень отметки первого этажа здания.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3.4.7. Административно-бытовые здания должны иметь двойные тамбуры, планировка которых должна обеспечивать изменение направления движ</w:t>
      </w:r>
      <w:r>
        <w:rPr>
          <w:rFonts w:ascii="Times New Roman" w:hAnsi="Times New Roman"/>
          <w:sz w:val="20"/>
        </w:rPr>
        <w:t>ения. Тамбуры должны быть оборудованы самозакрывающимися дверями с уплотнением в притворах. В климатическом подрайоне IГ не допускается расположение входов в здание с наветренной стороны по зимней розе ветров.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3.4.8. Высота этажей административно-бытовых зданий должна быть не менее 3,0 м. При высоте этажа менее 3,0 м площадь помещений, предназначенных для постоянного пребывания трудящихся, и гардеробных специальной одежды, увеличивается на 10%.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применении мобильных зданий контейнерного типа для обслу</w:t>
      </w:r>
      <w:r>
        <w:rPr>
          <w:rFonts w:ascii="Times New Roman" w:hAnsi="Times New Roman"/>
          <w:sz w:val="20"/>
        </w:rPr>
        <w:t>живания работающих общей численностью до 100 человек допускается принимать высоту помещений (от пола до потолка) не менее 2,4 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3.4.9. В составе административно-бытовых зданий, предназначенных для обслуживания не менее 1 тыс. работающих, при наличии обоснований допускается проектирование спортивных залов и бассейнов, согласно соответствующим нормам проектирования, а также зимних садов площадью не более 0,1 м</w:t>
      </w:r>
      <w:r>
        <w:rPr>
          <w:rFonts w:ascii="Times New Roman" w:hAnsi="Times New Roman"/>
          <w:position w:val="-4"/>
          <w:sz w:val="20"/>
        </w:rPr>
        <w:pict>
          <v:shape id="_x0000_i1111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на одного работающего в смену.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3.4.10. При возведении административно-бытовых зданий в отделенны</w:t>
      </w:r>
      <w:r>
        <w:rPr>
          <w:rFonts w:ascii="Times New Roman" w:hAnsi="Times New Roman"/>
          <w:sz w:val="20"/>
        </w:rPr>
        <w:t>х районах, осваиваемых по вахтовому или очаговому способу, следует применять облегченные многослойные конструкции  с эффективным утеплителем, а при возведении  административно-бытовых  зданий в районах сосредоточенного строительства - эффективные сборные железобетонные конструкции.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3.4.11. Помещения и  устройства санитарно-бытового  обслуживания следует  проектировать исходя из характера и условий  труда работающих и требований настоящих норм.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3.4.12. В составе гардеробных домашней одежды следует предусма</w:t>
      </w:r>
      <w:r>
        <w:rPr>
          <w:rFonts w:ascii="Times New Roman" w:hAnsi="Times New Roman"/>
          <w:sz w:val="20"/>
        </w:rPr>
        <w:t>тривать места для отдыха после водных процедур площадью    0,1 м</w:t>
      </w:r>
      <w:r>
        <w:rPr>
          <w:rFonts w:ascii="Times New Roman" w:hAnsi="Times New Roman"/>
          <w:position w:val="-4"/>
          <w:sz w:val="20"/>
        </w:rPr>
        <w:pict>
          <v:shape id="_x0000_i1112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на одного работающего в смену, но не менее 9 м</w:t>
      </w:r>
      <w:r>
        <w:rPr>
          <w:rFonts w:ascii="Times New Roman" w:hAnsi="Times New Roman"/>
          <w:position w:val="-4"/>
          <w:sz w:val="20"/>
        </w:rPr>
        <w:pict>
          <v:shape id="_x0000_i1113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. Допускается объединять места для отдыха с местами для сушки волос и бритья. 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3.4.13. Для хранения уличной одежды следует предусматривать отдельные гардеробные с вешалками. Гардеробные уличной  одежды следует, как правило,  оборудовать устройствами  для ее просушивания.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3.4.14. Площадь вестибюлей, предназначенных  для хранения уличной одежды, следует принимать из расчета 0,6 м</w:t>
      </w:r>
      <w:r>
        <w:rPr>
          <w:rFonts w:ascii="Times New Roman" w:hAnsi="Times New Roman"/>
          <w:position w:val="-4"/>
          <w:sz w:val="20"/>
        </w:rPr>
        <w:pict>
          <v:shape id="_x0000_i1114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на  одного ра</w:t>
      </w:r>
      <w:r>
        <w:rPr>
          <w:rFonts w:ascii="Times New Roman" w:hAnsi="Times New Roman"/>
          <w:sz w:val="20"/>
        </w:rPr>
        <w:t>ботающего в смену, а площадь вестибюлей, предназначенных для хранения уличной одежды и ожидания транспорта - 0,7 м</w:t>
      </w:r>
      <w:r>
        <w:rPr>
          <w:rFonts w:ascii="Times New Roman" w:hAnsi="Times New Roman"/>
          <w:position w:val="-4"/>
          <w:sz w:val="20"/>
        </w:rPr>
        <w:pict>
          <v:shape id="_x0000_i1115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на одного работающего в смену. Перед  гардеробным барьером следует предусматривать скамьи шириной 30 см из расчета 1 м на 8 человек в смену для переодевания уличной одежды.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3.4.15. Для работающих в неотапливаемых помещениях или на открытом воздухе в составе гардеробных блоков следует предусматривать кладовые для  сезонного хранения утепленной спецодежды.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3.4.16. В административно-бытовых зда</w:t>
      </w:r>
      <w:r>
        <w:rPr>
          <w:rFonts w:ascii="Times New Roman" w:hAnsi="Times New Roman"/>
          <w:sz w:val="20"/>
        </w:rPr>
        <w:t>ниях  смежно с душевыми помещениями допускается предусматривать парильные отделения из расчета одновременного обслуживания 20% рабочих в смену с учетом п. 1.7.9. Площадь парильни на 6-8 мест с электрокаменкой следует принимать равной 10 м</w:t>
      </w:r>
      <w:r>
        <w:rPr>
          <w:rFonts w:ascii="Times New Roman" w:hAnsi="Times New Roman"/>
          <w:position w:val="-4"/>
          <w:sz w:val="20"/>
        </w:rPr>
        <w:pict>
          <v:shape id="_x0000_i1116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. При парильне следует предусматривать помещение пульта управления площадью 1,5 м</w:t>
      </w:r>
      <w:r>
        <w:rPr>
          <w:rFonts w:ascii="Times New Roman" w:hAnsi="Times New Roman"/>
          <w:position w:val="-4"/>
          <w:sz w:val="20"/>
        </w:rPr>
        <w:pict>
          <v:shape id="_x0000_i1117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Вход в помещение парильни должен предусматриваться из преддушевых через шлюз-предбанник площадью 6,5 м</w:t>
      </w:r>
      <w:r>
        <w:rPr>
          <w:rFonts w:ascii="Times New Roman" w:hAnsi="Times New Roman"/>
          <w:position w:val="-4"/>
          <w:sz w:val="20"/>
        </w:rPr>
        <w:pict>
          <v:shape id="_x0000_i1118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,  оборудованной двумя душевыми кабинами. Двери из преддушевой в предбанник должны вы</w:t>
      </w:r>
      <w:r>
        <w:rPr>
          <w:rFonts w:ascii="Times New Roman" w:hAnsi="Times New Roman"/>
          <w:sz w:val="20"/>
        </w:rPr>
        <w:t xml:space="preserve">полняться  как противопожарные.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3.4.17. Для размещения мест отдыха и обогрева работающих на открытом воздухе следует, как правило, использовать мобильные здания контейнерного типа.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Здравпункты должны предусматриваться на предприятиях с вахтовой организацией  труда, если в поселке отсутствует поликлиника.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3.4.19. В административно-бытовых зданиях следует в помещениях гардеробных и преддушевых устраивать искусственное освещение, дополненное бактерицидными лампами, включаемыми в нерабочее время.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3.4.20. С</w:t>
      </w:r>
      <w:r>
        <w:rPr>
          <w:rFonts w:ascii="Times New Roman" w:hAnsi="Times New Roman"/>
          <w:sz w:val="20"/>
        </w:rPr>
        <w:t xml:space="preserve">толовые промышленных предприятий должны быть, как правило, встроенными в административно-бытовые здания. Допускается устройство в составе общезаводского центра предприятия или общественного центра промузла отдельно стоящего здания столовой, работающей на сырье и обслуживающей все столовые-доготовочные, столовые-раздаточные и  магазины  кулинарии  данного предприятия  (промузла).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административно-бытовых зданиях предприятия, расположенных в районах очагового освоения или обслуживаемых по вахтовому способу</w:t>
      </w:r>
      <w:r>
        <w:rPr>
          <w:rFonts w:ascii="Times New Roman" w:hAnsi="Times New Roman"/>
          <w:sz w:val="20"/>
        </w:rPr>
        <w:t>, должны  предусматриваться столовые-доготовочные, а при списочной численности  работающих до 200 человек - столовые-раздаточные, работающие на базе столовой на сырье, расположенной в жилой зоне. Допускается на предприятиях предусматривать  столовые на сырье при невозможности ступенчатой организации питания.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3.4.21. Количество посадочных  мест в обеденных залах столовых  и расчетное количество блюд, а также мощность заготовительного предприятия следует увеличивать на 15% по сравнению с СНиП II-Л.8-71.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</w:t>
      </w:r>
      <w:r>
        <w:rPr>
          <w:rFonts w:ascii="Times New Roman" w:hAnsi="Times New Roman"/>
          <w:sz w:val="20"/>
        </w:rPr>
        <w:t>.22. При вестибюлях административно-бытовых зданий при списочной численности работающих более 300 человек допускается предусматривать киоск союзпечати, парикмахерскую,  пункт приема и выдачи продовольственных  заказов, магазин кулинарии, комплексный приемный пункт  бытового обслуживания с соблюдением противопожарных норм.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Парикмахерские следует проектировать  из расчета 1 рабочее место на 300 работающих в смену. Пункт приема и выдачи продовольственных  заказов следует принимать из расчета 0,05 м</w:t>
      </w:r>
      <w:r>
        <w:rPr>
          <w:rFonts w:ascii="Times New Roman" w:hAnsi="Times New Roman"/>
          <w:position w:val="-4"/>
          <w:sz w:val="20"/>
        </w:rPr>
        <w:pict>
          <v:shape id="_x0000_i1119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на 1 чело</w:t>
      </w:r>
      <w:r>
        <w:rPr>
          <w:rFonts w:ascii="Times New Roman" w:hAnsi="Times New Roman"/>
          <w:sz w:val="20"/>
        </w:rPr>
        <w:t>века в смену. Приемный пункт бытового обслуживания следует проектировать при размещении в административно-бытовом здании на одно рабочее место площадью 24 м</w:t>
      </w:r>
      <w:r>
        <w:rPr>
          <w:rFonts w:ascii="Times New Roman" w:hAnsi="Times New Roman"/>
          <w:position w:val="-4"/>
          <w:sz w:val="20"/>
        </w:rPr>
        <w:pict>
          <v:shape id="_x0000_i1120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.  Магазин кулинарии следует  проектировать из расчета 1 рабочее место на 500 человек в смену.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3.4.23. На предприятиях, обслуживаемых по вахтовому способу, допускается предусматривать по  месту работы только парикмахерские, киоск  союзпечати, стол по продаже кулинарных и  кондитерских изделий при столовой. Остальные объекты торговли и бытового обслужи</w:t>
      </w:r>
      <w:r>
        <w:rPr>
          <w:rFonts w:ascii="Times New Roman" w:hAnsi="Times New Roman"/>
          <w:sz w:val="20"/>
        </w:rPr>
        <w:t>вания должны быть предусмотрены в жилой зоне.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3.4.24. В составе общезаводских центров допускается предусматривать выставочные залы площадью, в зависимости от величины предприятия, от 24 до 200 м</w:t>
      </w:r>
      <w:r>
        <w:rPr>
          <w:rFonts w:ascii="Times New Roman" w:hAnsi="Times New Roman"/>
          <w:position w:val="-4"/>
          <w:sz w:val="20"/>
        </w:rPr>
        <w:pict>
          <v:shape id="_x0000_i1121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, а на крупных предприятиях (более 2000 чел.) - музеи.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3.4.25. На предприятиях, обслуживаемых по вахтовому способу, помещения выставочных залов и библиотеки художественной литературы допускается не предусматривать. В этих случаях указанные помещения следует размещать в жилой зоне.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 Инженерное оборудование пр</w:t>
      </w:r>
      <w:r>
        <w:rPr>
          <w:rFonts w:ascii="Times New Roman" w:hAnsi="Times New Roman"/>
          <w:sz w:val="20"/>
        </w:rPr>
        <w:t xml:space="preserve">омышленных зданий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Отопление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3.5.1. Температуру воздуха на рабочих местах производственных зданий с постоянным пребыванием обслуживающего персонала при проектировании отопления следует принимать по низшему  пределу оптимальных норм в соответствии с табл. 1 по ГОСТ 12.1.005-76.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3.5.2. При временном пребывании обслуживающего персонала в помещении внутреннюю температуру воздуха для проектирования систем отопления следует принимать: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до 2 ч в смену 10</w:t>
      </w:r>
      <w:r>
        <w:rPr>
          <w:rFonts w:ascii="Times New Roman" w:hAnsi="Times New Roman"/>
          <w:position w:val="-4"/>
          <w:sz w:val="20"/>
        </w:rPr>
        <w:pict>
          <v:shape id="_x0000_i1122" type="#_x0000_t75" style="width:9pt;height:17.25pt">
            <v:imagedata r:id="rId25" o:title=""/>
          </v:shape>
        </w:pict>
      </w:r>
      <w:r>
        <w:rPr>
          <w:rFonts w:ascii="Times New Roman" w:hAnsi="Times New Roman"/>
          <w:sz w:val="20"/>
        </w:rPr>
        <w:t>С;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до 0,25 ч в смену, а также для дежурного отоплен</w:t>
      </w:r>
      <w:r>
        <w:rPr>
          <w:rFonts w:ascii="Times New Roman" w:hAnsi="Times New Roman"/>
          <w:sz w:val="20"/>
        </w:rPr>
        <w:t>ия 5</w:t>
      </w:r>
      <w:r>
        <w:rPr>
          <w:rFonts w:ascii="Times New Roman" w:hAnsi="Times New Roman"/>
          <w:position w:val="-4"/>
          <w:sz w:val="20"/>
        </w:rPr>
        <w:pict>
          <v:shape id="_x0000_i1123" type="#_x0000_t75" style="width:9pt;height:17.25pt">
            <v:imagedata r:id="rId25" o:title=""/>
          </v:shape>
        </w:pict>
      </w:r>
      <w:r>
        <w:rPr>
          <w:rFonts w:ascii="Times New Roman" w:hAnsi="Times New Roman"/>
          <w:sz w:val="20"/>
        </w:rPr>
        <w:t>С.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3.5.3. Температуру воздуха в рабочих помещениях вспомогательных зданий при проектировании отопления следует принимать по низшему пределу оптимальных норм в соответствии с приложением 3 к СНиП II-33-75</w:t>
      </w:r>
      <w:r>
        <w:rPr>
          <w:rFonts w:ascii="Times New Roman" w:hAnsi="Times New Roman"/>
          <w:position w:val="-4"/>
          <w:sz w:val="20"/>
        </w:rPr>
        <w:pict>
          <v:shape id="_x0000_i1124" type="#_x0000_t75" style="width:9pt;height:17.25pt">
            <v:imagedata r:id="rId20" o:title=""/>
          </v:shape>
        </w:pict>
      </w:r>
      <w:r>
        <w:rPr>
          <w:rFonts w:ascii="Times New Roman" w:hAnsi="Times New Roman"/>
          <w:sz w:val="20"/>
        </w:rPr>
        <w:t>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3.5.4. В системах отопления и теплоснабжения производственных и вспомогательных зданий промышленных предприятий в качестве теплоносителя следует принимать воду.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Применение для предприятий в качестве единого теплоносителя пара для технологических процессов, отопления и внутреннего теплоснабжения д</w:t>
      </w:r>
      <w:r>
        <w:rPr>
          <w:rFonts w:ascii="Times New Roman" w:hAnsi="Times New Roman"/>
          <w:sz w:val="20"/>
        </w:rPr>
        <w:t>опускается в виде исключения на основании технико-экономического обоснования.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помещениях категорий Г и Д допускается проектировать отопление воздушно-газовое аналогично указаниям по применению газовых поверхностных воздухонагревателей на объектах Министерства газовой промышленности,  1979 г.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3.5.5. Отопление отдельно стоящих мелких потребителей  тепла, удаленных  от тепловой сети на расстояние 100 м и более, с мощностью до 18 Квт, следует предусматривать при помощи электрической энергии.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3.5.6. Во  в</w:t>
      </w:r>
      <w:r>
        <w:rPr>
          <w:rFonts w:ascii="Times New Roman" w:hAnsi="Times New Roman"/>
          <w:sz w:val="20"/>
        </w:rPr>
        <w:t>спомогательных, административно-конторских и бытовых помещениях следует предусматривать системы отопления с местными нагревательными приборами и параметрами теплоносителя не выше 105</w:t>
      </w:r>
      <w:r>
        <w:rPr>
          <w:rFonts w:ascii="Times New Roman" w:hAnsi="Times New Roman"/>
          <w:position w:val="-4"/>
          <w:sz w:val="20"/>
        </w:rPr>
        <w:pict>
          <v:shape id="_x0000_i1125" type="#_x0000_t75" style="width:9pt;height:17.25pt">
            <v:imagedata r:id="rId25" o:title=""/>
          </v:shape>
        </w:pict>
      </w:r>
      <w:r>
        <w:rPr>
          <w:rFonts w:ascii="Times New Roman" w:hAnsi="Times New Roman"/>
          <w:sz w:val="20"/>
        </w:rPr>
        <w:t xml:space="preserve">С, а также системы лучистого отопления.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3.5.7. Системы  отопления с местными нагревательными приборами следует, как правило, применять однотрубными.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3.5.8. Обслуживание запорной и регулирующей арматуры следует производить с пола или площадок. При расположении арматуры, диаметром до 150 мм, на высоте до 3 м допускается испол</w:t>
      </w:r>
      <w:r>
        <w:rPr>
          <w:rFonts w:ascii="Times New Roman" w:hAnsi="Times New Roman"/>
          <w:sz w:val="20"/>
        </w:rPr>
        <w:t>ьзовать передвижные вышки, стремянки и приставные лестницы с углом не более 60</w:t>
      </w:r>
      <w:r>
        <w:rPr>
          <w:rFonts w:ascii="Times New Roman" w:hAnsi="Times New Roman"/>
          <w:position w:val="-4"/>
          <w:sz w:val="20"/>
        </w:rPr>
        <w:pict>
          <v:shape id="_x0000_i1126" type="#_x0000_t75" style="width:9pt;height:17.25pt">
            <v:imagedata r:id="rId25" o:title=""/>
          </v:shape>
        </w:pict>
      </w:r>
      <w:r>
        <w:rPr>
          <w:rFonts w:ascii="Times New Roman" w:hAnsi="Times New Roman"/>
          <w:sz w:val="20"/>
        </w:rPr>
        <w:t xml:space="preserve"> при условии соблюдения правил техники безопасности.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3.5.9. В качестве нагревательных приборов следует применять конвекторы, чугунные радиаторы, регистры из  гладких труб, подвесные излучающие панели, теплоизлучающие трубы, электрические и газовые инфракрасные излучатели.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3.5.10. Для обеспечения нормируемых внутренних температур воздуха в холодный и переходный периоды года в производственных зданиях следует предусматривать раб</w:t>
      </w:r>
      <w:r>
        <w:rPr>
          <w:rFonts w:ascii="Times New Roman" w:hAnsi="Times New Roman"/>
          <w:sz w:val="20"/>
        </w:rPr>
        <w:t>оту двух независимых систем отопления: дежурную, поддерживающую температуру в нерабочее время не менее 5</w:t>
      </w:r>
      <w:r>
        <w:rPr>
          <w:rFonts w:ascii="Times New Roman" w:hAnsi="Times New Roman"/>
          <w:position w:val="-4"/>
          <w:sz w:val="20"/>
        </w:rPr>
        <w:pict>
          <v:shape id="_x0000_i1127" type="#_x0000_t75" style="width:9pt;height:17.25pt">
            <v:imagedata r:id="rId25" o:title=""/>
          </v:shape>
        </w:pict>
      </w:r>
      <w:r>
        <w:rPr>
          <w:rFonts w:ascii="Times New Roman" w:hAnsi="Times New Roman"/>
          <w:sz w:val="20"/>
        </w:rPr>
        <w:t>С и основную, обеспечивающую догрев внутреннего воздуха до требуемых параметров. В качестве дежурных систем отопления следует предусматривать системы напольного отопления, системы лучистого отопления или с местными нагревательными приборами. В качестве основных систем отопления следует применять системы воздушного, лучистого отопления, системы с местными нагревательными приборами.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3.5.11. Водяное отопле</w:t>
      </w:r>
      <w:r>
        <w:rPr>
          <w:rFonts w:ascii="Times New Roman" w:hAnsi="Times New Roman"/>
          <w:sz w:val="20"/>
        </w:rPr>
        <w:t>ние зданий с местными нагревательными приборами следует, как правило, проектировать с регулированием теплоотдачи приборами по фасадам, если расчетный расход тепла за отопительный период на один фасад составляет 1000 Гдж (240 Гкал) и более.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Вентиляция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3.5.12. В связи с особыми экологическими условиями в рассматриваемых районах обеспечение нормируемых санитарно-гигиенических условий в цехах должно обеспечиваться, в первую очередь, за счет правильной организации технологического процесса, применения совреме</w:t>
      </w:r>
      <w:r>
        <w:rPr>
          <w:rFonts w:ascii="Times New Roman" w:hAnsi="Times New Roman"/>
          <w:sz w:val="20"/>
        </w:rPr>
        <w:t>нного технологического оборудования и рационального планировочного решения рабочих помещений.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Технологическое оборудование, выделяющее тепло, пыль, вредные газы, аэрозоли, пары и т.д., должно быть герметизировано, иметь встроенные укрытия с отсосами.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3.5.13. Системы приточной и вытяжной вентиляции следует проектировать с учетом максимального их укрупнения и централизации.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центральных системах приточной вентиляции следует предусматривать резервное оборудование.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Степень централизации вентиляционных уст</w:t>
      </w:r>
      <w:r>
        <w:rPr>
          <w:rFonts w:ascii="Times New Roman" w:hAnsi="Times New Roman"/>
          <w:sz w:val="20"/>
        </w:rPr>
        <w:t>ановок должна быть выбрана на основе технико-экономического обоснования.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3.5.14. Для зданий, возводимых в районах с расчетной температурой наружного воздуха ниже минус 40</w:t>
      </w:r>
      <w:r>
        <w:rPr>
          <w:rFonts w:ascii="Times New Roman" w:hAnsi="Times New Roman"/>
          <w:position w:val="-4"/>
          <w:sz w:val="20"/>
        </w:rPr>
        <w:pict>
          <v:shape id="_x0000_i1128" type="#_x0000_t75" style="width:9pt;height:17.25pt">
            <v:imagedata r:id="rId25" o:title=""/>
          </v:shape>
        </w:pict>
      </w:r>
      <w:r>
        <w:rPr>
          <w:rFonts w:ascii="Times New Roman" w:hAnsi="Times New Roman"/>
          <w:sz w:val="20"/>
        </w:rPr>
        <w:t>С (параметр "Б" для холодного периода года), установка вентиляционного оборудования (в т.ч. и крышных вентиляторов) вне здания не допускается, кроме сухих циклонов и эжекторов с теплоизоляцией.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3.5.15. Естественную вытяжную вентиляцию допускается использовать при условии, что не будут удаляться вещества 1-2 класса вредности. Для естестве</w:t>
      </w:r>
      <w:r>
        <w:rPr>
          <w:rFonts w:ascii="Times New Roman" w:hAnsi="Times New Roman"/>
          <w:sz w:val="20"/>
        </w:rPr>
        <w:t xml:space="preserve">нной общеобменной вытяжной вентиляции следует применять незадуваемые вытяжные шахты. 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3.5.16. При проектировании воздухораздачи в многоэтажных зданиях, в которых этажи сообщаются технологическими проемами, подачу приточного воздуха следует предусматривать на нижние отметки, если это не влечет за собой переноса вредности. При возможном переносе вредностей следует предусматривать поэтажную приточно-вытяжную вентиляцию.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3.5.17. Для зданий общественного назначения следует проектировать приточную вентиляцию с</w:t>
      </w:r>
      <w:r>
        <w:rPr>
          <w:rFonts w:ascii="Times New Roman" w:hAnsi="Times New Roman"/>
          <w:sz w:val="20"/>
        </w:rPr>
        <w:t xml:space="preserve"> искусственным побуждением.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3.5.18. Для зданий, сооружаемых в районах с расчетной наружной температурой по параметру "Б", для холодного периода года ниже минус 40</w:t>
      </w:r>
      <w:r>
        <w:rPr>
          <w:rFonts w:ascii="Times New Roman" w:hAnsi="Times New Roman"/>
          <w:position w:val="-4"/>
          <w:sz w:val="20"/>
        </w:rPr>
        <w:pict>
          <v:shape id="_x0000_i1129" type="#_x0000_t75" style="width:9pt;height:17.25pt">
            <v:imagedata r:id="rId25" o:title=""/>
          </v:shape>
        </w:pict>
      </w:r>
      <w:r>
        <w:rPr>
          <w:rFonts w:ascii="Times New Roman" w:hAnsi="Times New Roman"/>
          <w:sz w:val="20"/>
        </w:rPr>
        <w:t>С, подбор калориферов для приточной вентиляции следует производить при массовой скорости воздуха во фронтальном сечении калорифера до 3,5 кг/м</w:t>
      </w:r>
      <w:r>
        <w:rPr>
          <w:rFonts w:ascii="Times New Roman" w:hAnsi="Times New Roman"/>
          <w:position w:val="-4"/>
          <w:sz w:val="20"/>
        </w:rPr>
        <w:pict>
          <v:shape id="_x0000_i1130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с.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3.5.19. При размещении приемных отверстий для приточной вентиляции следует исходить из следующих условий: низ приемных отверстий в районах с объемами снегопереноса за зиму 200 м</w:t>
      </w:r>
      <w:r>
        <w:rPr>
          <w:rFonts w:ascii="Times New Roman" w:hAnsi="Times New Roman"/>
          <w:position w:val="-4"/>
          <w:sz w:val="20"/>
        </w:rPr>
        <w:pict>
          <v:shape id="_x0000_i1131" type="#_x0000_t75" style="width:9pt;height:17.25pt">
            <v:imagedata r:id="rId6" o:title=""/>
          </v:shape>
        </w:pict>
      </w:r>
      <w:r>
        <w:rPr>
          <w:rFonts w:ascii="Times New Roman" w:hAnsi="Times New Roman"/>
          <w:sz w:val="20"/>
        </w:rPr>
        <w:t>/м и менее (по СНиП 2.</w:t>
      </w:r>
      <w:r>
        <w:rPr>
          <w:rFonts w:ascii="Times New Roman" w:hAnsi="Times New Roman"/>
          <w:sz w:val="20"/>
        </w:rPr>
        <w:t xml:space="preserve">01.01.82, приложение 1), а в городах и других местах, защищенных от снегопереноса, независимо от характера защиты, следует располагать над уровнем устойчивого снежного покрова не менее чем на 1 м, но не ниже, чем 2 м от уровня земли.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районах с объемом снегопереноса более 200 м</w:t>
      </w:r>
      <w:r>
        <w:rPr>
          <w:rFonts w:ascii="Times New Roman" w:hAnsi="Times New Roman"/>
          <w:position w:val="-4"/>
          <w:sz w:val="20"/>
        </w:rPr>
        <w:pict>
          <v:shape id="_x0000_i1132" type="#_x0000_t75" style="width:9pt;height:17.25pt">
            <v:imagedata r:id="rId6" o:title=""/>
          </v:shape>
        </w:pict>
      </w:r>
      <w:r>
        <w:rPr>
          <w:rFonts w:ascii="Times New Roman" w:hAnsi="Times New Roman"/>
          <w:sz w:val="20"/>
        </w:rPr>
        <w:t>/м за зиму при расположении зданий на открытой местности приточные отверстия следует размещать, как правило, по сторонам здания, параллельным основному направлению снегопереноса на высоте не менее 2 м над уровнем устойчивого снежн</w:t>
      </w:r>
      <w:r>
        <w:rPr>
          <w:rFonts w:ascii="Times New Roman" w:hAnsi="Times New Roman"/>
          <w:sz w:val="20"/>
        </w:rPr>
        <w:t xml:space="preserve">ого покрова. При необходимости размещения приемных устройств со стороны, перпендикулярной основному направлению снегопереноса, высоту установки приемных отверстий следует увеличивать в соответствии с уровнем устойчивого снежного покрова и мощностью снегопереноса.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3.5.20. Для предотвращения забивания снегом воздухоприемных отверстий  приточной вентиляции зданий и сооружений следует предусматривать: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установку жалюзийных решеток с живым сечением не менее 80%;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скорость воздуха во воздухоприемном отвер</w:t>
      </w:r>
      <w:r>
        <w:rPr>
          <w:rFonts w:ascii="Times New Roman" w:hAnsi="Times New Roman"/>
          <w:sz w:val="20"/>
        </w:rPr>
        <w:t>стии не выше 4 м/с.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предупреждения замерзания теплоносителя в калориферах, кроме автоматической защиты, следует: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 принимать температуру воды, выходящей из калориферов, не ниже 20</w:t>
      </w:r>
      <w:r>
        <w:rPr>
          <w:rFonts w:ascii="Times New Roman" w:hAnsi="Times New Roman"/>
          <w:position w:val="-4"/>
          <w:sz w:val="20"/>
        </w:rPr>
        <w:pict>
          <v:shape id="_x0000_i1133" type="#_x0000_t75" style="width:9pt;height:17.25pt">
            <v:imagedata r:id="rId25" o:title=""/>
          </v:shape>
        </w:pict>
      </w:r>
      <w:r>
        <w:rPr>
          <w:rFonts w:ascii="Times New Roman" w:hAnsi="Times New Roman"/>
          <w:sz w:val="20"/>
        </w:rPr>
        <w:t>С при всех эксплуатационных режимах;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принимать установку групповых или индивидуальных насосов для смешивания теплоносителя (воды) из тепловой сети с обратным теплоносителем из калориферов (приложение 8, рисунки 8.1а и 8.1б).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в) в дополнение к указаниям подпункта "а" для повышения температуры подаваемого воздуха перед </w:t>
      </w:r>
      <w:r>
        <w:rPr>
          <w:rFonts w:ascii="Times New Roman" w:hAnsi="Times New Roman"/>
          <w:sz w:val="20"/>
        </w:rPr>
        <w:t>основными калориферами до температуры не ниже минус 25</w:t>
      </w:r>
      <w:r>
        <w:rPr>
          <w:rFonts w:ascii="Times New Roman" w:hAnsi="Times New Roman"/>
          <w:position w:val="-4"/>
          <w:sz w:val="20"/>
        </w:rPr>
        <w:pict>
          <v:shape id="_x0000_i1134" type="#_x0000_t75" style="width:9pt;height:17.25pt">
            <v:imagedata r:id="rId25" o:title=""/>
          </v:shape>
        </w:pict>
      </w:r>
      <w:r>
        <w:rPr>
          <w:rFonts w:ascii="Times New Roman" w:hAnsi="Times New Roman"/>
          <w:sz w:val="20"/>
        </w:rPr>
        <w:t>С в системах предусматривать установку части калориферов в канале рециркуляционного воздуха по схеме на рис. 2а, а в системах без рециркуляции следует отбирать из приточного канала и подогревать в дополнительных калориферах до 20% приточного воздуха, возвращая его в канал подогретого воздуха (приложение 8, схема на рис. 8.2б).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3.5.21. Системы автоматического регулирования вентиляционными установками зданий, сооружаемых в климатических районах с расчетн</w:t>
      </w:r>
      <w:r>
        <w:rPr>
          <w:rFonts w:ascii="Times New Roman" w:hAnsi="Times New Roman"/>
          <w:sz w:val="20"/>
        </w:rPr>
        <w:t>ой температурой наружного воздуха минус 40</w:t>
      </w:r>
      <w:r>
        <w:rPr>
          <w:rFonts w:ascii="Times New Roman" w:hAnsi="Times New Roman"/>
          <w:position w:val="-4"/>
          <w:sz w:val="20"/>
        </w:rPr>
        <w:pict>
          <v:shape id="_x0000_i1135" type="#_x0000_t75" style="width:9pt;height:17.25pt">
            <v:imagedata r:id="rId25" o:title=""/>
          </v:shape>
        </w:pict>
      </w:r>
      <w:r>
        <w:rPr>
          <w:rFonts w:ascii="Times New Roman" w:hAnsi="Times New Roman"/>
          <w:sz w:val="20"/>
        </w:rPr>
        <w:t>С и ниже, должны быть, как правило, электрическими.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3.5.22. У всех ворот и технологических проемов следует устраивать воздушно-тепловые завесы.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Воздушно-тепловые завесы должны, как правило, работать в автоматическом режиме или  непрерывно в течение всей рабочей смены в холодный период года. Воздушные и воздушно-тепловые завесы следует рассчитывать с учетом ветрового давления при расчетной скорости ветра и наиболее невыгодного его направления для холодного периода</w:t>
      </w:r>
      <w:r>
        <w:rPr>
          <w:rFonts w:ascii="Times New Roman" w:hAnsi="Times New Roman"/>
          <w:sz w:val="20"/>
        </w:rPr>
        <w:t xml:space="preserve"> года.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3.5.23. Воздуховоды и детали сантехнических систем должны выполняться в соответствии ВСН Минмонтажспецстроя СССР "Инструкция по применению и расчету воздуховодов из унифицированных деталей".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3.5.24. В соответствии с главой СНиП II-33-75</w:t>
      </w:r>
      <w:r>
        <w:rPr>
          <w:rFonts w:ascii="Times New Roman" w:hAnsi="Times New Roman"/>
          <w:position w:val="-4"/>
          <w:sz w:val="20"/>
        </w:rPr>
        <w:pict>
          <v:shape id="_x0000_i1136" type="#_x0000_t75" style="width:9pt;height:17.25pt">
            <v:imagedata r:id="rId20" o:title=""/>
          </v:shape>
        </w:pict>
      </w:r>
      <w:r>
        <w:rPr>
          <w:rFonts w:ascii="Times New Roman" w:hAnsi="Times New Roman"/>
          <w:sz w:val="20"/>
        </w:rPr>
        <w:t xml:space="preserve"> возуховоды  следует, как правило, проектировать круглого сечения.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Изделия для систем отопления и вентиляции (детали, воздуховоды), устанавливаемые снаружи зданий, возводимых в районах с температурой наружного воздуха по параметру "Б" минус 40</w:t>
      </w:r>
      <w:r>
        <w:rPr>
          <w:rFonts w:ascii="Times New Roman" w:hAnsi="Times New Roman"/>
          <w:position w:val="-4"/>
          <w:sz w:val="20"/>
        </w:rPr>
        <w:pict>
          <v:shape id="_x0000_i1137" type="#_x0000_t75" style="width:9pt;height:17.25pt">
            <v:imagedata r:id="rId25" o:title=""/>
          </v:shape>
        </w:pict>
      </w:r>
      <w:r>
        <w:rPr>
          <w:rFonts w:ascii="Times New Roman" w:hAnsi="Times New Roman"/>
          <w:sz w:val="20"/>
        </w:rPr>
        <w:t>С и ниже, должны быт</w:t>
      </w:r>
      <w:r>
        <w:rPr>
          <w:rFonts w:ascii="Times New Roman" w:hAnsi="Times New Roman"/>
          <w:sz w:val="20"/>
        </w:rPr>
        <w:t>ь выполнены из металла и других материалов, стойких к низким температурам наружного воздуха.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3.5.25. Следует предусматривать конструктивную увязку систем отопления и вентиляции и согласование режимов их работы.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Как правило, следует применять системы воздушного отопления, совмещенные с вентиляцией, системы лучистого отопления, комбинированные с вентиляцией.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3.6. Сооружения промышленных предприятий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3.6.1. При проектировании сооружений промышленных предприятий следует руководствоваться СНиП 2.09.03-85, а</w:t>
      </w:r>
      <w:r>
        <w:rPr>
          <w:rFonts w:ascii="Times New Roman" w:hAnsi="Times New Roman"/>
          <w:sz w:val="20"/>
        </w:rPr>
        <w:t xml:space="preserve"> также требованиями настоящего раздела.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3.6.2. При проектировании следует применять, как правило, сооружения повышенной заводской готовности при одновременном уменьшении веса конструкций за счет использования легких и высокопрочных материалов.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3.6.3. Привязка сооружений на местности должна предусматриваться на участках с наименьшей суммарной мощностью слоев торфа, илов, насыпных грунтов.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вечномерзлых грунтах сооружения следует размещать на участках с наименьшей их льдистостью и заторфованностью.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3.6</w:t>
      </w:r>
      <w:r>
        <w:rPr>
          <w:rFonts w:ascii="Times New Roman" w:hAnsi="Times New Roman"/>
          <w:sz w:val="20"/>
        </w:rPr>
        <w:t>.4. Подземные конструкции сооружений, подвергающиеся воздействию болотных вод, должны быть защищены от коррозии в соответствии со СНиП 2.03.11-85 в зависимости от степени агрессивности среды.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3.6.5. Сооружения, расположенные на вечномерзлых, илистых и заторфованных грунтах, должны обладать повышенной прочностью и жесткостью, необходимой для выравнивания возможных неравномерных осадок основания.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 этой целью сооружения следует проектировать в виде жестких блоков, образующихся за счет применения фундаментов</w:t>
      </w:r>
      <w:r>
        <w:rPr>
          <w:rFonts w:ascii="Times New Roman" w:hAnsi="Times New Roman"/>
          <w:sz w:val="20"/>
        </w:rPr>
        <w:t xml:space="preserve"> в виде плиты, ростверка, перекрестных лент, а также включения совместной работы конструкций сооружений и фундаментов.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Примыкание сооружений между собой и к зданиям следует осуществлять с применением деформационно-осадочных швов или гибких конструкций, обеспечивающих свободу деформаций каждого из них.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3.6.6. Сооружения на вечномерзлых грунтах должны проектироваться, как правило, наземными, простой геометрической формы в плане.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3.6.7. Проектирование сооружений на вечномерзлых грунтах должно производиться</w:t>
      </w:r>
      <w:r>
        <w:rPr>
          <w:rFonts w:ascii="Times New Roman" w:hAnsi="Times New Roman"/>
          <w:sz w:val="20"/>
        </w:rPr>
        <w:t xml:space="preserve"> в основном с использованием основания по принципу I.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3.6.8. Проектирование сооружений на вечномерзлых грунтах с использованием основания по принципу II должно производиться в основном при малой льдистости и влажности грунта и величине сезоннооттаивающего слоя не более 1,5 м, а также для сооружений, малочувствительных к возможному возникновению неравномерных осадок.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уменьшения величин деформаций основания следует предусматривать предварительное искусственное оттаивание вечномерзлых грунтов на заданную</w:t>
      </w:r>
      <w:r>
        <w:rPr>
          <w:rFonts w:ascii="Times New Roman" w:hAnsi="Times New Roman"/>
          <w:sz w:val="20"/>
        </w:rPr>
        <w:t xml:space="preserve"> глубину с заменой льдонасыщенных грунтов песчаными или крупнообломочными грунтами.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эксплуатации сооружений, возведенных с использованием вечномерзлого грунта оснований по принципу II, необходимо осуществлять постоянный контроль  за возможными осадками сооружений и предусматривать в проекте мероприятия по их устранению.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3.6.9. Основания каналов и тоннелей при подземной их прокладке должны приниматься: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а) для заторфованных грунтов с полной выторфовкой устройством песчаной подушки по всему дну траншеи </w:t>
      </w:r>
      <w:r>
        <w:rPr>
          <w:rFonts w:ascii="Times New Roman" w:hAnsi="Times New Roman"/>
          <w:sz w:val="20"/>
        </w:rPr>
        <w:t>и монолитной железобетонной плиты или на свайном основании с устройством сплошного сборно-монолитного железобетонного ростверка;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для вечномерзлых грунтов с использованием основания по I принципу -  на свайном основании с устройством сплошного сборно-монолитного железобетонного ростверка;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г) для вечномерзлых грунтов с использованием основания по II принципу - с устройством песчаной подушки по всему дну траншеи толщиной не менее 600 мм и монолитной или сборно-монолитной железобетонной плиты. При этом сле</w:t>
      </w:r>
      <w:r>
        <w:rPr>
          <w:rFonts w:ascii="Times New Roman" w:hAnsi="Times New Roman"/>
          <w:sz w:val="20"/>
        </w:rPr>
        <w:t>дует предусматривать естественную или искусственную вентиляцию, oбеспечивающую требуемый температурный режим, а также их дренирование.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3.6.10. Проектирование емкостных сооружений, расположенных на вечномерзлых грунтах, следует осуществлять в основном с  применением основания по I принципу.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этом емкостные сооружения должны быть, как правило, закрытого типа с устройством теплоизоляции или располагаться в отапливаемых павильонах.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проектировании наземных емкостных сооружений, расположенных на вечноме</w:t>
      </w:r>
      <w:r>
        <w:rPr>
          <w:rFonts w:ascii="Times New Roman" w:hAnsi="Times New Roman"/>
          <w:sz w:val="20"/>
        </w:rPr>
        <w:t>рзлых грунтах с устройством основания по I принципу, опирание емкостей следует осуществлять на перекрытие-ростверк, расположенное на свайном фундаменте, с устройством минимального продуваемого подполья от поверхности земли до низа перекрытия ростверка не менее 500 мм, обеспечивающего одновременно изоляцию от возможной утечки воды и продукта из емкости.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3.6.11. Отдельностоящее опоры и эстакады под технологические трубопроводы должны проектироваться, как правило, с применением свайных фундаментов или для сва</w:t>
      </w:r>
      <w:r>
        <w:rPr>
          <w:rFonts w:ascii="Times New Roman" w:hAnsi="Times New Roman"/>
          <w:sz w:val="20"/>
        </w:rPr>
        <w:t>й-колонн.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трубопроводов, малочувствительных к возможному возникновению неравномерных осадок, допускается прокладка их на низких шпальных или плитных опорах, устроенных  на гравийной подушке с высотой от поверхности земли до низа трубы не менее 300 мм.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3.6.12. Стены и решетки бункеров, а также стены закромов, предназначенные для материалов, подверженных смерзанию, следует обогревать регистрами или другими нагревательными устройствами. В стенах этих сооружений необходимо дополнительно предусматривать те</w:t>
      </w:r>
      <w:r>
        <w:rPr>
          <w:rFonts w:ascii="Times New Roman" w:hAnsi="Times New Roman"/>
          <w:sz w:val="20"/>
        </w:rPr>
        <w:t xml:space="preserve">плоизоляцию с наружной  стороны.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 Конструктивные решения промышленных зданий.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Несущие конструкции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3.7.1. Здания и сооружения промышленного назначения должны, как правило, проектироваться с учетом их комплектной поставки на строительную площадку.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3.7.2. Для зданий и сооружений, возводимых в районах распространения вечномерзлых грунтов, преимущественно применять конструктивные системы каркасов с шарнирными узлами сопряжения ригелей с колоннами, менее чувствительные к неравномерным осадкам.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3.7.3. Пр</w:t>
      </w:r>
      <w:r>
        <w:rPr>
          <w:rFonts w:ascii="Times New Roman" w:hAnsi="Times New Roman"/>
          <w:sz w:val="20"/>
        </w:rPr>
        <w:t>и отсутствии базы изготовления железобетонных конструкций для каркаса одноэтажных отапливаемых зданий с неагрессивными и слабоагрессивными средами при  пролетах 18 и 24 м следует применять легкие металлические конструкции комплектной поставки по типу "Молодечно", "Канск", "Тагил" и др.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3.7.4. Для объектов с пролетами менее 18 м допускается применение клееных деревянных конструкций или стальных каркасов местного изготовления с применением эффективных сечений (широкополочных двутавров и тавров, гнутосварных </w:t>
      </w:r>
      <w:r>
        <w:rPr>
          <w:rFonts w:ascii="Times New Roman" w:hAnsi="Times New Roman"/>
          <w:sz w:val="20"/>
        </w:rPr>
        <w:t>профилей прямоугольного и квадратного сечений).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3.7.5. При  проектировании производственных зданий площадью свыше 10 тыс. м</w:t>
      </w:r>
      <w:r>
        <w:rPr>
          <w:rFonts w:ascii="Times New Roman" w:hAnsi="Times New Roman"/>
          <w:position w:val="-4"/>
          <w:sz w:val="20"/>
        </w:rPr>
        <w:pict>
          <v:shape id="_x0000_i1138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следует, как правило, предусматривать конвейерный метод сборки и монтажа с прокладкой в межферменном пространстве коммуникаций и использованием  кровельных покрытий полной заводской готовности.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3.7.6. Перекрытия многоэтажных зданий, этажерок и площадок под оборудование следует проектировать, как правило, сборными и сборно-монолитными  железобетонными. При устройстве монолитных и сб</w:t>
      </w:r>
      <w:r>
        <w:rPr>
          <w:rFonts w:ascii="Times New Roman" w:hAnsi="Times New Roman"/>
          <w:sz w:val="20"/>
        </w:rPr>
        <w:t xml:space="preserve">орно-монолитных перекрытий в цехах с неагрессивными  средами следует в качестве несъемной опалубки применять профилированный настил,  который  учитывается  как внешняя арматура.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3.7.7. Несущие конструкции площадок под оборудование и этажерок допускается проектировать с применением стальных элементов с настилами типа "Батайск", ВИСП, просечно-вытяжной и рифленой стали.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Ограждающие конструкции. Наружные стены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3.7.8. Наружные стены отапливаемых зданий II и  IIIа степени огнестойкости с сухим и нормальным</w:t>
      </w:r>
      <w:r>
        <w:rPr>
          <w:rFonts w:ascii="Times New Roman" w:hAnsi="Times New Roman"/>
          <w:sz w:val="20"/>
        </w:rPr>
        <w:t xml:space="preserve"> влажностным режимом, размещаемых в труднодоступных районах, следует проектировать, как правило, из трехслойных металлических каркасных панелей с минераловатной изоляцией плотностью не выше 125 кг/м</w:t>
      </w:r>
      <w:r>
        <w:rPr>
          <w:rFonts w:ascii="Times New Roman" w:hAnsi="Times New Roman"/>
          <w:position w:val="-4"/>
          <w:sz w:val="20"/>
        </w:rPr>
        <w:pict>
          <v:shape id="_x0000_i1139" type="#_x0000_t75" style="width:9pt;height:17.25pt">
            <v:imagedata r:id="rId6" o:title=""/>
          </v:shape>
        </w:pict>
      </w:r>
      <w:r>
        <w:rPr>
          <w:rFonts w:ascii="Times New Roman" w:hAnsi="Times New Roman"/>
          <w:sz w:val="20"/>
        </w:rPr>
        <w:t>; стены зданий IVа степени огнестойкости с сухим и нормальным режимом следует проектировать из металлических трехслойных бескаркасных сэндвич-панелей  с теплоизоляцией из пенополиуретана.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Панели должны иметь обшивки из оцинкованного и окрашенного стального листа толщиной 0,6-0,7 мм. Допускается применение алюми</w:t>
      </w:r>
      <w:r>
        <w:rPr>
          <w:rFonts w:ascii="Times New Roman" w:hAnsi="Times New Roman"/>
          <w:sz w:val="20"/>
        </w:rPr>
        <w:t>ниевого листа.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Теплоизоляция каркасных панелей должна иметь слой пароизоляции  со стороны помещения в виде полиэтиленовой пленки толщиной 0,15 мм, а со стороны улицы - ветрозащитный барьер из слоя пергамина.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Стены зданий с влажным и мокрым режимом следует, как правило, проектировать из трехслойных железобетонных панелей с эффективным теплоизоляционным слоем (плиты пенопласта или минераловатные плиты). При отсутствии производства трехслойных железобетонных панелей стены зданий с  мокрым режимом проектирова</w:t>
      </w:r>
      <w:r>
        <w:rPr>
          <w:rFonts w:ascii="Times New Roman" w:hAnsi="Times New Roman"/>
          <w:sz w:val="20"/>
        </w:rPr>
        <w:t>ть вентилируемыми с  наружным экранам из металлического или асбестоцементного листа и расположенной за ним воздушной прослойкой или из глиняного кирпича пластического прессования.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Стены из однослойных легкобетонных или ячеистобетонных панелей следует применять в зданиях с сухим и нормальным режимом в случаях, когда имеется база по изготовлению панелей и их теплозащитные свойства оказываются достаточными.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Примечание. Рекомендуемые типовые панели см. приложение 9.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Цоколи зданий с металлическими стенами сл</w:t>
      </w:r>
      <w:r>
        <w:rPr>
          <w:rFonts w:ascii="Times New Roman" w:hAnsi="Times New Roman"/>
          <w:sz w:val="20"/>
        </w:rPr>
        <w:t>едует проектировать из трехслойных железобетонных панелей или из однослойных легкобетонных панелей.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3.7.9. Наружные стены неотапливаемых зданий и сооружений следует проектировать из профилированного оцинкованного и окрашенного стального листа  толщиной 0,6-0,7 мм по ГОСТ 24045-86.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Цоколь во всех случаях выполнять из однослойных легкобетонных или железобетонных панелей.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Перегородки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3.7.10. Перегородки зданий промышленных предприятий различных отраслей промышленности следует выполнять из укрупненных  эле</w:t>
      </w:r>
      <w:r>
        <w:rPr>
          <w:rFonts w:ascii="Times New Roman" w:hAnsi="Times New Roman"/>
          <w:sz w:val="20"/>
        </w:rPr>
        <w:t xml:space="preserve">ментов заводской готовности в зависимости  от эксплуатационных требований и степени  огнестойкости зданий.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Типовые перегородки см. приложение 9.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3.7.11. Для каркасов перегородок (панелей)  и колонн фахверка следует, как  правило, применять гнутые стальные профили.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Покрытия и кровли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3.7.12. Для покрытий зданий промышленных  предприятий следует  предусматривать применение индустриальных конструкций покрытий повышенной строительной готовности, в частности, комплексных железобетонных плит, поз</w:t>
      </w:r>
      <w:r>
        <w:rPr>
          <w:rFonts w:ascii="Times New Roman" w:hAnsi="Times New Roman"/>
          <w:sz w:val="20"/>
        </w:rPr>
        <w:t>воляющих  повысить надежность кровель и предупреждать возможность увлажнения теплоизоляционных материалов. Также следует применять высокоиндустриальные легкие конструкции с максимальной заводской  готовностью.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отапливаемых зданий следует, как правило, применять  трехслойные металлические панели покрытия, а также  двухслойные с верхним слоем из  металлического профилированного настила, двухслойные панели с нижним слоем из металлического профилированного настила, эффективным утеплителем с верхним покрыти</w:t>
      </w:r>
      <w:r>
        <w:rPr>
          <w:rFonts w:ascii="Times New Roman" w:hAnsi="Times New Roman"/>
          <w:sz w:val="20"/>
        </w:rPr>
        <w:t>ем из полимерных материалов.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Примечание. Дополнительные рекомендации и типовые покрытия см. приложение 9.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3.7.13.   Для зданий и сооружений следует, как правило, предусматривать кровли из эластомерных материалов. Кровли из битуминозных с применением мастик на основе  мягких битумов следует применять с уклоном не более 2,5%.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3.7.14. В качестве основания под кровлю должны предусматриваться, как правило, конструктивные элементы покрытий без стяжек по их поверхности, в т.ч.: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теплоизоляционный слой с не</w:t>
      </w:r>
      <w:r>
        <w:rPr>
          <w:rFonts w:ascii="Times New Roman" w:hAnsi="Times New Roman"/>
          <w:sz w:val="20"/>
        </w:rPr>
        <w:t>обходимой прочностью на сжатие не менее 1,5-2 кгс/см</w:t>
      </w:r>
      <w:r>
        <w:rPr>
          <w:rFonts w:ascii="Times New Roman" w:hAnsi="Times New Roman"/>
          <w:position w:val="-4"/>
          <w:sz w:val="20"/>
        </w:rPr>
        <w:pict>
          <v:shape id="_x0000_i1140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из пенопластов, 1 кгс/см</w:t>
      </w:r>
      <w:r>
        <w:rPr>
          <w:rFonts w:ascii="Times New Roman" w:hAnsi="Times New Roman"/>
          <w:position w:val="-4"/>
          <w:sz w:val="20"/>
        </w:rPr>
        <w:pict>
          <v:shape id="_x0000_i1141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из минераловатных плит повышенной жесткости.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ровные поверхности несущих плит.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3.7.15. Покрытия неотапливаемых зданий и сооружений следует проектировать из  профилированного оцинкованного или окрашенного стального листа толщиной 0,8-0,9 мм по ГОСТ 24045-86.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Полы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3.7.16. Типы  покрытий  полов производственных помещений следует назначать согласно табл. 2 СНиП II-В.8-71.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Типы покрытий полов жилых, общественных  и вспомога</w:t>
      </w:r>
      <w:r>
        <w:rPr>
          <w:rFonts w:ascii="Times New Roman" w:hAnsi="Times New Roman"/>
          <w:sz w:val="20"/>
        </w:rPr>
        <w:t>тельных зданий следует назначать согласно табл. 3 СНиП II-В.8-71.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3.7.17. Полы производственных  зданий следует, как правило, предусматривать сборной конструкции. Для помещений с небольшой насыщенностью фундаментами под оборудование при нагрузках на пол свыше 5 т/м</w:t>
      </w:r>
      <w:r>
        <w:rPr>
          <w:rFonts w:ascii="Times New Roman" w:hAnsi="Times New Roman"/>
          <w:position w:val="-4"/>
          <w:sz w:val="20"/>
        </w:rPr>
        <w:pict>
          <v:shape id="_x0000_i1142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, следует применять крупноразмерные комплексные плиты размером 3х3 м, в остальных случаях  - унифицированные бетонные блоки.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3.7.18. При  устройстве полов крупноразмерные комплексные плиты и унифицированные бетонные блоки монтируют по прослойке</w:t>
      </w:r>
      <w:r>
        <w:rPr>
          <w:rFonts w:ascii="Times New Roman" w:hAnsi="Times New Roman"/>
          <w:sz w:val="20"/>
        </w:rPr>
        <w:t xml:space="preserve"> из песка, выполненной по грунтовому основанию или плите перекрытия. Эксплуатация этих полов может быть начата непосредственно после монтажа плит или блоков.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Полы в помещениях категорий А, Б и В (где обращаются) ЛВЖ и ГЖ должны быть герметичными.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3.7.19. Полы из крупноразмерных комплексных плит и унифицированных бетонных блоков не допускается применять в производственных  помещениях, где имеет место постоянное или периодические воздействие на пол жидкостей, в том числе веществ животного происхождения, щел</w:t>
      </w:r>
      <w:r>
        <w:rPr>
          <w:rFonts w:ascii="Times New Roman" w:hAnsi="Times New Roman"/>
          <w:sz w:val="20"/>
        </w:rPr>
        <w:t>очей, кислот и их растворов, независимо от концентрации и интенсивности.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Примечание: Рекомендации и номенклатуру конструкций полов см. в приложении 9.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3.7.20. При расположении в зоне опасного капиллярного поднятия грунтовых вод низа прослойки из песка следует применять гидроизоляцию из слоя щебня с пропиткой битумом.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Светопропускающие конструкции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3.7.21. Для производственных зданий следует предусматривать совмещенное освещение помещений для всех разрядов выполняемых в них зрительных работ в соответстви</w:t>
      </w:r>
      <w:r>
        <w:rPr>
          <w:rFonts w:ascii="Times New Roman" w:hAnsi="Times New Roman"/>
          <w:sz w:val="20"/>
        </w:rPr>
        <w:t>и со СНиП II-4-79.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3.7.22. Общая площадь остекления в зоне среднеобья не должна превышать 20%, в приполярной зоне - 15%, в полярной зоне - 12% от площади стен.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3.7.23. При проектировании окон следует предусматривать возможность их открывания на площади не менее 20% от общей площади остекления и простого доступа для очистки от  загрязнений и ремонта.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3.7.24. В зданиях с сухим или нормальным влажностным  режимом  помещений, эксплуатируемыми в районах с низкими  расчетными температурами наружного воздуха, </w:t>
      </w:r>
      <w:r>
        <w:rPr>
          <w:rFonts w:ascii="Times New Roman" w:hAnsi="Times New Roman"/>
          <w:sz w:val="20"/>
        </w:rPr>
        <w:t xml:space="preserve">следует применять окна со стальными раздельными переплетами, с деревянными переплетами, с деревоалюминиевыми переплетами.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Примечание. Типовые конструкции см. в приложении 9.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3.7.25. В зданиях с влажным или мокрым режимом помещений следует применять трехслойное остекление окон в деревянных переплетах, пропитанных защитными составами.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3.7.26. Применение фонарей в зданиях, как правило, не допускается. В случаях, когда необходимость верхнего естественного освещения подтверждается технико-экономическим обос</w:t>
      </w:r>
      <w:r>
        <w:rPr>
          <w:rFonts w:ascii="Times New Roman" w:hAnsi="Times New Roman"/>
          <w:sz w:val="20"/>
        </w:rPr>
        <w:t>нованием, допускается применение зенитных фонарей с трехслойным остеклением. Площадь фонарей не должна превышать 8% от площади пола.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Типовые конструкции см. в приложении 9.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 Проектирование жилых и общественных зданий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4.1. Объемно-планировочные решения жилых зданий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4.1.1. Высота жилых этажей в квартирных домах, общежитиях и гостиницах принимается по п. 2.1 СНиП 2.08.01-85. В жилых зданиях, собираемых из конструкций, привозимых на территорию Западно-Сибирского комплекса, допускается приним</w:t>
      </w:r>
      <w:r>
        <w:rPr>
          <w:rFonts w:ascii="Times New Roman" w:hAnsi="Times New Roman"/>
          <w:sz w:val="20"/>
        </w:rPr>
        <w:t>ать высоту жилых помещений не менее 2,5 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Верхний предел высоты помещений жилых зданий принимать по СНиП 2.08.01-85.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4.1.2. В квартирах следует предусматривать жилые комнаты и подсобные помещения - кухню, переднюю  и внутриквартирный коридор, ванную, уборную, кладовую, хозяйственный встроенный шкаф, антресоли, сушильный шкаф для верхней одежды и обуви, обогреваемый от системы горячего водоснабжения и вентилируемый через вытяжные каналы.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кухнях следует предусматривать, если это допускают конструкции  н</w:t>
      </w:r>
      <w:r>
        <w:rPr>
          <w:rFonts w:ascii="Times New Roman" w:hAnsi="Times New Roman"/>
          <w:sz w:val="20"/>
        </w:rPr>
        <w:t>аружных стен, встроенный холодный шкаф для продуктов.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 квартирах городских жилых домов (3-х комнатных и более) допускается предусматривать помещение для хозяйственных работ, оборудованное раковиной и сливом, площадью 5 м</w:t>
      </w:r>
      <w:r>
        <w:rPr>
          <w:rFonts w:ascii="Times New Roman" w:hAnsi="Times New Roman"/>
          <w:position w:val="-4"/>
          <w:sz w:val="20"/>
        </w:rPr>
        <w:pict>
          <v:shape id="_x0000_i1143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, а в квартирах сельских жилых домов площадью до 10 м</w:t>
      </w:r>
      <w:r>
        <w:rPr>
          <w:rFonts w:ascii="Times New Roman" w:hAnsi="Times New Roman"/>
          <w:position w:val="-4"/>
          <w:sz w:val="20"/>
        </w:rPr>
        <w:pict>
          <v:shape id="_x0000_i1144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4.1.3. Верхние пределы  общей площади квартир в зависимости от количества комнат берутся в соответствии с таблицей 6 CHиП 2.08.01-85 с обязательным их увеличением на 10%. Также допускается дополнительно увеличивать общую  площадь к</w:t>
      </w:r>
      <w:r>
        <w:rPr>
          <w:rFonts w:ascii="Times New Roman" w:hAnsi="Times New Roman"/>
          <w:sz w:val="20"/>
        </w:rPr>
        <w:t xml:space="preserve">вартир на 5% по конструктивным особенностям зданий.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Допускается строительство домов гостиничного типа с однокомнатными квартирами общей площадью  не более 28,0 м</w:t>
      </w:r>
      <w:r>
        <w:rPr>
          <w:rFonts w:ascii="Times New Roman" w:hAnsi="Times New Roman"/>
          <w:position w:val="-4"/>
          <w:sz w:val="20"/>
        </w:rPr>
        <w:pict>
          <v:shape id="_x0000_i1145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, оборудованных кухней-нишей.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4.1.4. В жилых домах допускается проектирование остекленных летних помещений типа "веранда" в случаях их обеспечения эвакуационными проходами на случай пожара и наличием устройств, обеспечивающих нормальный воздухообмен жилых помещений и кухонь. Размещение этих летних помещений должно предусматриваться </w:t>
      </w:r>
      <w:r>
        <w:rPr>
          <w:rFonts w:ascii="Times New Roman" w:hAnsi="Times New Roman"/>
          <w:sz w:val="20"/>
        </w:rPr>
        <w:t xml:space="preserve">с примыканием к кухне (с сохранением естественного проветривания) или к общей комнате вне ее светового  фронта.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Площадь веранд следует принимать не более 10 м</w:t>
      </w:r>
      <w:r>
        <w:rPr>
          <w:rFonts w:ascii="Times New Roman" w:hAnsi="Times New Roman"/>
          <w:position w:val="-4"/>
          <w:sz w:val="20"/>
        </w:rPr>
        <w:pict>
          <v:shape id="_x0000_i1146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, глубиной не менее 1,2 м. В состав веранд следует включать холодные кладовые для дополнительного хранения продуктов питания.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4.1.5. В однокомнатных квартирах допускается устройство кухонь-ниш, оборудованных электроплитой и вентиляцией с механическим побуждением, а в квартирах с числом жилых комнат более одной - рабочих кухонь со вторым светом, обо</w:t>
      </w:r>
      <w:r>
        <w:rPr>
          <w:rFonts w:ascii="Times New Roman" w:hAnsi="Times New Roman"/>
          <w:sz w:val="20"/>
        </w:rPr>
        <w:t>рудованных электроплитой и искусственной вентиляцией. Площадь кухни следует принимать не менее 8 м</w:t>
      </w:r>
      <w:r>
        <w:rPr>
          <w:rFonts w:ascii="Times New Roman" w:hAnsi="Times New Roman"/>
          <w:position w:val="-4"/>
          <w:sz w:val="20"/>
        </w:rPr>
        <w:pict>
          <v:shape id="_x0000_i1147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, в двух-трехкомнатных квартирах до 10 м</w:t>
      </w:r>
      <w:r>
        <w:rPr>
          <w:rFonts w:ascii="Times New Roman" w:hAnsi="Times New Roman"/>
          <w:position w:val="-4"/>
          <w:sz w:val="20"/>
        </w:rPr>
        <w:pict>
          <v:shape id="_x0000_i1148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,  в четырехкомнатных - до 12 м</w:t>
      </w:r>
      <w:r>
        <w:rPr>
          <w:rFonts w:ascii="Times New Roman" w:hAnsi="Times New Roman"/>
          <w:position w:val="-4"/>
          <w:sz w:val="20"/>
        </w:rPr>
        <w:pict>
          <v:shape id="_x0000_i1149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, в пятикомнатных и более - до 14 м</w:t>
      </w:r>
      <w:r>
        <w:rPr>
          <w:rFonts w:ascii="Times New Roman" w:hAnsi="Times New Roman"/>
          <w:position w:val="-4"/>
          <w:sz w:val="20"/>
        </w:rPr>
        <w:pict>
          <v:shape id="_x0000_i1150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4.1.6. Допускается предусматривать сауны с душевой коллективного пользования в расчете на секцию, дом. В квартирах одно-, двухэтажных жилых домов допускается предусматривать сауну с душевой.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4.1.7. Допускается размещение в первых этажах жилых домов встроенных и встроенно-пристроенных учреждений общ</w:t>
      </w:r>
      <w:r>
        <w:rPr>
          <w:rFonts w:ascii="Times New Roman" w:hAnsi="Times New Roman"/>
          <w:sz w:val="20"/>
        </w:rPr>
        <w:t>ественного назначения при соответствующих обоснованиях.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4.1.8. В городских и поселковых жилых домах  при входе в лестничную клетку следует предусматривать двойные тамбуры с угловым поворотом.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4.1.9. В квартирах следует устанавливать дополнительные вторые двери и тройное остекление окон.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4.1.10. Жилые комнаты и помещения подсобного назначения группируются в жилые ячейки. В жилых ячейках общежитий следует предусматривать следующие подсобные помещения: переднюю, санитарно-гигиенические помещения, шкаф для </w:t>
      </w:r>
      <w:r>
        <w:rPr>
          <w:rFonts w:ascii="Times New Roman" w:hAnsi="Times New Roman"/>
          <w:sz w:val="20"/>
        </w:rPr>
        <w:t>хранения одежды, сушильный шкаф, допускается устройство кухни-ниши и хозяйственного шкафа.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4.1.11. Жилые комнаты в составе жилой ячейки в общежитиях для рабочих и служащих следует предусматривать на 2-3 человека, в студенческих общежитиях комнаты должны предусматриваться только в расчете на 2 человека.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4.1.12. Проектирование гостиниц на территории региона следует вести в соответствии в требованиями главами СНиП II-79-78  "Гостиницы".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4.1.13. В гостиницах общего  типа, предназначенных для длительного пр</w:t>
      </w:r>
      <w:r>
        <w:rPr>
          <w:rFonts w:ascii="Times New Roman" w:hAnsi="Times New Roman"/>
          <w:sz w:val="20"/>
        </w:rPr>
        <w:t>оживания специалистов, дополнительно к требованиям СНиП II-79-78: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допускается увеличивать на 20% вестибюльную группу помещений, при этом необходимо устройство второго вестибюля с пунктом проката и гардеробной верхней и рабочей одежды (с площадями согласно табл. 4.1.1);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гардероб следует проектировать из расчета 30% общей вместимости по 0,1 м</w:t>
      </w:r>
      <w:r>
        <w:rPr>
          <w:rFonts w:ascii="Times New Roman" w:hAnsi="Times New Roman"/>
          <w:position w:val="-4"/>
          <w:sz w:val="20"/>
        </w:rPr>
        <w:pict>
          <v:shape id="_x0000_i1151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на одно место в гостинице;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площадь камеры хранения следует увеличивать в 2 раза;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допускается проектировать в составе гостиницы зал заседаний и библиотеку те</w:t>
      </w:r>
      <w:r>
        <w:rPr>
          <w:rFonts w:ascii="Times New Roman" w:hAnsi="Times New Roman"/>
          <w:sz w:val="20"/>
        </w:rPr>
        <w:t xml:space="preserve">хнической литературы с читальным залом, кухни для самодеятельного приготовления пищи, магазин кулинарии на 1-2 рабочих места;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габариты встроенных шкафов в номерах  следует увеличивать на 20%.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4.1.1.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405"/>
        <w:gridCol w:w="1710"/>
        <w:gridCol w:w="1710"/>
        <w:gridCol w:w="17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Наименование помещения </w:t>
            </w:r>
          </w:p>
        </w:tc>
        <w:tc>
          <w:tcPr>
            <w:tcW w:w="51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Площадь в 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152" type="#_x0000_t75" style="width:9pt;height:17.25pt">
                  <v:imagedata r:id="rId14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при количестве мест в гостинице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 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Помещение приема и выдачи одежды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171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171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Помещение приема верхней одежды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171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Помещение хранения рабочей одежды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171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 Помещение для хранения обуви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171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 Помещение для чистки одежды и обуви с умывальником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171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6. Сушильное помещение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171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7. Мастерская ремонта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171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Итого: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</w:t>
            </w:r>
          </w:p>
        </w:tc>
        <w:tc>
          <w:tcPr>
            <w:tcW w:w="171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84 </w:t>
            </w:r>
          </w:p>
        </w:tc>
        <w:tc>
          <w:tcPr>
            <w:tcW w:w="171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112 </w:t>
            </w:r>
          </w:p>
        </w:tc>
      </w:tr>
    </w:tbl>
    <w:p w:rsidR="00000000" w:rsidRDefault="00E74FE9">
      <w:pPr>
        <w:pStyle w:val="Heading"/>
        <w:jc w:val="center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 Объемно-планировочные решения общественных зданий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4.2.1. В районах с большим  объемом снегоопереноса общественные здания следует проектировать компактными, без выступов, внутренних углов, без перепадов  по высоте.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Здания, предусмотренные для строительства на  вечномерзлых грунтах (при сохранении  этих грунтов в вечномерзлом</w:t>
      </w:r>
      <w:r>
        <w:rPr>
          <w:rFonts w:ascii="Times New Roman" w:hAnsi="Times New Roman"/>
          <w:sz w:val="20"/>
        </w:rPr>
        <w:t xml:space="preserve">  состояния в течение всего периода эксплуатации здания), следует проектировать без подвалов и цокольных  этажей.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строительстве с использованием вечномерзлых  грунтов в качестве основания  по принципу  I следует предусматривать следующие варианты решения цокольной части здания: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с устройством над холодным вентилируемым подпольем технического подполья;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без устройства технического подполья (инженерные  сети и оборудование размещаются в толще перекрытия над  холодным вентилируемым подпольем или в</w:t>
      </w:r>
      <w:r>
        <w:rPr>
          <w:rFonts w:ascii="Times New Roman" w:hAnsi="Times New Roman"/>
          <w:sz w:val="20"/>
        </w:rPr>
        <w:t xml:space="preserve"> этом подполье под перекрытием).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4.2.2. В районах с сильными ветрами переменного направления и большим объемом снегопереноса допускается устройство дополнительных наружных тамбуров.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Тамбур должен быть размещен с наветренной стороны здания.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проектировании входов в здания, строительство которых осуществляется при использовании вечномерзлых грунтов, в качестве основания по принципу I следует уменьшать высоту наружных крылец, перенося часть ступеней внутрь здания.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4.2.3. Площадь этажа между противопо</w:t>
      </w:r>
      <w:r>
        <w:rPr>
          <w:rFonts w:ascii="Times New Roman" w:hAnsi="Times New Roman"/>
          <w:sz w:val="20"/>
        </w:rPr>
        <w:t xml:space="preserve">жарными стенами принимать по таблице 4.2.1.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4.2.1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485"/>
        <w:gridCol w:w="1290"/>
        <w:gridCol w:w="1185"/>
        <w:gridCol w:w="1002"/>
        <w:gridCol w:w="1134"/>
        <w:gridCol w:w="1127"/>
        <w:gridCol w:w="114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Степень огнестойкости </w:t>
            </w:r>
          </w:p>
        </w:tc>
        <w:tc>
          <w:tcPr>
            <w:tcW w:w="129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Допустимое к-во этажей </w:t>
            </w:r>
          </w:p>
        </w:tc>
        <w:tc>
          <w:tcPr>
            <w:tcW w:w="558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Площадь, 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153" type="#_x0000_t75" style="width:9pt;height:17.25pt">
                  <v:imagedata r:id="rId14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этажа между противопожарными стенами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9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одно- этажные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2-х этажные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3-5 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этажей 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6-9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этажей </w:t>
            </w:r>
          </w:p>
        </w:tc>
        <w:tc>
          <w:tcPr>
            <w:tcW w:w="114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10-16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этажей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9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6000 </w:t>
            </w:r>
          </w:p>
        </w:tc>
        <w:tc>
          <w:tcPr>
            <w:tcW w:w="1002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5000 </w:t>
            </w:r>
          </w:p>
        </w:tc>
        <w:tc>
          <w:tcPr>
            <w:tcW w:w="1134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5000 </w:t>
            </w:r>
          </w:p>
        </w:tc>
        <w:tc>
          <w:tcPr>
            <w:tcW w:w="1127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5000 </w:t>
            </w:r>
          </w:p>
        </w:tc>
        <w:tc>
          <w:tcPr>
            <w:tcW w:w="1141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II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9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11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6000 </w:t>
            </w:r>
          </w:p>
        </w:tc>
        <w:tc>
          <w:tcPr>
            <w:tcW w:w="100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4000 </w:t>
            </w:r>
          </w:p>
        </w:tc>
        <w:tc>
          <w:tcPr>
            <w:tcW w:w="1134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4000 </w:t>
            </w:r>
          </w:p>
        </w:tc>
        <w:tc>
          <w:tcPr>
            <w:tcW w:w="112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4000 </w:t>
            </w:r>
          </w:p>
        </w:tc>
        <w:tc>
          <w:tcPr>
            <w:tcW w:w="1141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III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9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11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3000 </w:t>
            </w:r>
          </w:p>
        </w:tc>
        <w:tc>
          <w:tcPr>
            <w:tcW w:w="100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2000 </w:t>
            </w:r>
          </w:p>
        </w:tc>
        <w:tc>
          <w:tcPr>
            <w:tcW w:w="1134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2000 </w:t>
            </w:r>
          </w:p>
        </w:tc>
        <w:tc>
          <w:tcPr>
            <w:tcW w:w="112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41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IIIa </w:t>
            </w:r>
          </w:p>
        </w:tc>
        <w:tc>
          <w:tcPr>
            <w:tcW w:w="129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11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2000 </w:t>
            </w:r>
          </w:p>
        </w:tc>
        <w:tc>
          <w:tcPr>
            <w:tcW w:w="100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34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2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41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IIIб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9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8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02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34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27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41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IV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9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11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2000 </w:t>
            </w:r>
          </w:p>
        </w:tc>
        <w:tc>
          <w:tcPr>
            <w:tcW w:w="100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1400 </w:t>
            </w:r>
          </w:p>
        </w:tc>
        <w:tc>
          <w:tcPr>
            <w:tcW w:w="1134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2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41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IVa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9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11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1200 </w:t>
            </w:r>
          </w:p>
        </w:tc>
        <w:tc>
          <w:tcPr>
            <w:tcW w:w="100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34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2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41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8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9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118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1200 </w:t>
            </w:r>
          </w:p>
        </w:tc>
        <w:tc>
          <w:tcPr>
            <w:tcW w:w="1002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800 </w:t>
            </w:r>
          </w:p>
        </w:tc>
        <w:tc>
          <w:tcPr>
            <w:tcW w:w="1134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27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41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 1. В зданиях I и II  степеней огнестойкости при наличии  автоматического пожаротушения  площадь этажа между противопожарными стенами может быть увеличена не более, чем вдвое.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Одноэтажные здания IVа степени огнестойкости могут проектироваться для: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торговых предприятий площадью не более 500 м</w:t>
      </w:r>
      <w:r>
        <w:rPr>
          <w:rFonts w:ascii="Times New Roman" w:hAnsi="Times New Roman"/>
          <w:position w:val="-4"/>
          <w:sz w:val="20"/>
        </w:rPr>
        <w:pict>
          <v:shape id="_x0000_i1154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, при условии оборудования спринклерными установками автоматического пожаротушения;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предприятий общественного питания (кроме ресторанов) вместимостью обеденных залов не более 100 п</w:t>
      </w:r>
      <w:r>
        <w:rPr>
          <w:rFonts w:ascii="Times New Roman" w:hAnsi="Times New Roman"/>
          <w:sz w:val="20"/>
        </w:rPr>
        <w:t>осадочных мест;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спортивных сооружений тренировочного назначения (без трибун для зрителей), площадью не более 1200 м</w:t>
      </w:r>
      <w:r>
        <w:rPr>
          <w:rFonts w:ascii="Times New Roman" w:hAnsi="Times New Roman"/>
          <w:position w:val="-4"/>
          <w:sz w:val="20"/>
        </w:rPr>
        <w:pict>
          <v:shape id="_x0000_i1155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учреждений и предприятий зрелищного назначения (за исключением детских) площадью не более 1200 м</w:t>
      </w:r>
      <w:r>
        <w:rPr>
          <w:rFonts w:ascii="Times New Roman" w:hAnsi="Times New Roman"/>
          <w:position w:val="-4"/>
          <w:sz w:val="20"/>
        </w:rPr>
        <w:pict>
          <v:shape id="_x0000_i1156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 и вместимостью залов до 100 человек.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Высота таких зданий должна быть не более 6 м. Все помещения (кроме торговых) оборудовать автоматической пожарной сигнализацией и системами оповещения о пожаре.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Деревянные стены с внутренней стороны, перегородки и потолки зданий V степени огнестойк</w:t>
      </w:r>
      <w:r>
        <w:rPr>
          <w:rFonts w:ascii="Times New Roman" w:hAnsi="Times New Roman"/>
          <w:sz w:val="20"/>
        </w:rPr>
        <w:t>ости детских дошкольных учреждений, школ, школ-интернатов, лечебно-профилактических учреждений, пионерских лагерей и клубов (кроме одноэтажных зданий клубов с рубленными или брусчатыми стенами) должны быть оштукатурены или покрыты огнезащитными красками или лаками.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4.2.4. Аудитории и залы размещать в общественных зданиях согласно таблице 4.2.2.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4.2.2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835"/>
        <w:gridCol w:w="2835"/>
        <w:gridCol w:w="283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Степень огнестойкости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Число мест в аудитории или зале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Предельный этаж размещения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 и II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 300 </w:t>
            </w:r>
          </w:p>
        </w:tc>
        <w:tc>
          <w:tcPr>
            <w:tcW w:w="283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 и II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св. 300 до 600 </w:t>
            </w: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 и</w:t>
            </w:r>
            <w:r>
              <w:rPr>
                <w:rFonts w:ascii="Times New Roman" w:hAnsi="Times New Roman"/>
                <w:sz w:val="20"/>
              </w:rPr>
              <w:t xml:space="preserve"> II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св. 600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III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 300 </w:t>
            </w: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III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св. 300 до 600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IIIа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 300 </w:t>
            </w: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IIIб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 500 </w:t>
            </w: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IV, V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 300 </w:t>
            </w: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IVа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 100 </w:t>
            </w:r>
          </w:p>
        </w:tc>
        <w:tc>
          <w:tcPr>
            <w:tcW w:w="283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При определении предельного этажа размещения аудиторий или залов, имеющих уклон пола, отметку пола следует принимать у первого ряда мест.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Детские дошкольные учреждения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4.2.5. При проектировании детских дошкольных учреждений с применением панельных конструкций жилых домов допускается принимать высоту этажа и размеры окон как  в жилых помещения</w:t>
      </w:r>
      <w:r>
        <w:rPr>
          <w:rFonts w:ascii="Times New Roman" w:hAnsi="Times New Roman"/>
          <w:sz w:val="20"/>
        </w:rPr>
        <w:t xml:space="preserve">х (только до 1989 г.). При этом площади  игральных и групповых должны быть увеличены с  учетом сохранения объема этих помещений в расчете на одного ребенка, принятого в зданиях детских дошкольных учреждений с высотой этажа 3,3 м.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4.2.6. Здания детских дошкольных учреждений допускается проектировать трехэтажными I-II степени огнестойкости.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4.2.7. Коридоры, соединяющие лестничные клетки, следует разделять  перегородками с самозакрывающимися дверями и с уплотнениями в притворах. Выходы из каждой ячейки дол</w:t>
      </w:r>
      <w:r>
        <w:rPr>
          <w:rFonts w:ascii="Times New Roman" w:hAnsi="Times New Roman"/>
          <w:sz w:val="20"/>
        </w:rPr>
        <w:t xml:space="preserve">жны устраиваться в разные отсеки коридоров.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4.2.8. В здании детских яслей-сада допускается предусматривать уголок живой природы: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90, 140 мест - 25 м</w:t>
      </w:r>
      <w:r>
        <w:rPr>
          <w:rFonts w:ascii="Times New Roman" w:hAnsi="Times New Roman"/>
          <w:position w:val="-4"/>
          <w:sz w:val="20"/>
        </w:rPr>
        <w:pict>
          <v:shape id="_x0000_i1157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280 мест - 50 м</w:t>
      </w:r>
      <w:r>
        <w:rPr>
          <w:rFonts w:ascii="Times New Roman" w:hAnsi="Times New Roman"/>
          <w:position w:val="-4"/>
          <w:sz w:val="20"/>
        </w:rPr>
        <w:pict>
          <v:shape id="_x0000_i1158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Допускается устройство площадок для пушных животных.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Площадь определяется по  местным условиям.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4.2.9. Саночные для всех  возрастных групп следует проектировать в виде самостоятельных помещений вблизи входов в групповые  ячейки из расчета 6 м</w:t>
      </w:r>
      <w:r>
        <w:rPr>
          <w:rFonts w:ascii="Times New Roman" w:hAnsi="Times New Roman"/>
          <w:position w:val="-4"/>
          <w:sz w:val="20"/>
        </w:rPr>
        <w:pict>
          <v:shape id="_x0000_i1159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 на каждую  групповую ячейку и оборудовать стеллажами для трехрядного хранения санок.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</w:t>
      </w:r>
      <w:r>
        <w:rPr>
          <w:rFonts w:ascii="Times New Roman" w:hAnsi="Times New Roman"/>
          <w:sz w:val="20"/>
        </w:rPr>
        <w:t>2.10. В детских дошкольных учреждениях допускается по согласованию с местными органами государственного санитарного надзора предусматривать отапливаемые прогулочные веранды с температурой внутреннего воздуха не более плюс 5°С.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Прогулочные веранды следует предусматривать из расчета 2,5 м</w:t>
      </w:r>
      <w:r>
        <w:rPr>
          <w:rFonts w:ascii="Times New Roman" w:hAnsi="Times New Roman"/>
          <w:position w:val="-4"/>
          <w:sz w:val="20"/>
        </w:rPr>
        <w:pict>
          <v:shape id="_x0000_i1160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на 1 место для  детей ясельного возраста и 3,0 м</w:t>
      </w:r>
      <w:r>
        <w:rPr>
          <w:rFonts w:ascii="Times New Roman" w:hAnsi="Times New Roman"/>
          <w:position w:val="-4"/>
          <w:sz w:val="20"/>
        </w:rPr>
        <w:pict>
          <v:shape id="_x0000_i1161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на 1 место для детей дошкольного  возраста.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4.2.11. В помещении бассейна следует предусматривать источники ультрафиолетовой  радиации (лампы ЭУВ-40) с раздельным включение</w:t>
      </w:r>
      <w:r>
        <w:rPr>
          <w:rFonts w:ascii="Times New Roman" w:hAnsi="Times New Roman"/>
          <w:sz w:val="20"/>
        </w:rPr>
        <w:t>м источников общего освещения и ультрафиолетового обогащения.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Общеобразовательные школы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4.2.12. Размещение и планировка спортивных залов должны обеспечивать возможность их автономного использования для работы с населением микрорайона. Для этих же целей  допускается при открытых спортивных площадках предусматривать дополнительные помещения для переодевания и хранения зимнего инвентаря (по нормам проектирования спортсооружений, исходя из пропускной способности спортивных площадок).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4.2.13.  Для школ вмест</w:t>
      </w:r>
      <w:r>
        <w:rPr>
          <w:rFonts w:ascii="Times New Roman" w:hAnsi="Times New Roman"/>
          <w:sz w:val="20"/>
        </w:rPr>
        <w:t>имостью 844 учащихся (22 класса) и более  допускается, при соответствующих обоснованиях, предусматривать крытый учебный бассейн для плавания с ванной размером 16,6х6 м; на группу школ - с ванной длиной 25 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Санаторные учреждения, учреждения отдыха и туризма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4.2.14. Санатории рекомендуется проектировать вместимостью 250 и 500 мест.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4.2.15. На земельных участках санаториев и оздоровительных учреждений площадь зеленых насаждений не нормируется.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4.2.16. Открытые сооружения  для спорта и отдыха при санато</w:t>
      </w:r>
      <w:r>
        <w:rPr>
          <w:rFonts w:ascii="Times New Roman" w:hAnsi="Times New Roman"/>
          <w:sz w:val="20"/>
        </w:rPr>
        <w:t xml:space="preserve">риях допускается не предусматривать.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4.2.17. В составе помещений санаториев следует предусматривать: биллиардную площадью не менее 30 м</w:t>
      </w:r>
      <w:r>
        <w:rPr>
          <w:rFonts w:ascii="Times New Roman" w:hAnsi="Times New Roman"/>
          <w:position w:val="-4"/>
          <w:sz w:val="20"/>
        </w:rPr>
        <w:pict>
          <v:shape id="_x0000_i1162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, универсальный спортивный зал площадью 36х18 м, плавательный бассейн (рекреационный) диаметром 24 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4.2.8. В составе помещений культурно-массового назначения  допускается предусматривать зимние сады (при фойе) из расчета: 0,2 м</w:t>
      </w:r>
      <w:r>
        <w:rPr>
          <w:rFonts w:ascii="Times New Roman" w:hAnsi="Times New Roman"/>
          <w:position w:val="-4"/>
          <w:sz w:val="20"/>
        </w:rPr>
        <w:pict>
          <v:shape id="_x0000_i1163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на одно место в санаториях на 250 мест; 0,15 м</w:t>
      </w:r>
      <w:r>
        <w:rPr>
          <w:rFonts w:ascii="Times New Roman" w:hAnsi="Times New Roman"/>
          <w:position w:val="-4"/>
          <w:sz w:val="20"/>
        </w:rPr>
        <w:pict>
          <v:shape id="_x0000_i1164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на одно место при санаториях на 500 мест.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4.2.19. Учреждения отдыха следует проектировать с </w:t>
      </w:r>
      <w:r>
        <w:rPr>
          <w:rFonts w:ascii="Times New Roman" w:hAnsi="Times New Roman"/>
          <w:sz w:val="20"/>
        </w:rPr>
        <w:t>количеством  мест: базы отдыха - 250-300; туристские базы - 250-500; туристские приюты - 50-100; молодежные лагеря отдыха - 100-250. Базы отдыха и туристские базы следует проектировать круглогодичного пользования.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4.2.20. В дополнение к составу помещений по СНиП II-71-79 (табл. 2) допускается предусматривать (за исключением туристских приютов) помещения зимних садов, в том числе для учреждений вместимостью 250 мест - площадью 50 м</w:t>
      </w:r>
      <w:r>
        <w:rPr>
          <w:rFonts w:ascii="Times New Roman" w:hAnsi="Times New Roman"/>
          <w:position w:val="-4"/>
          <w:sz w:val="20"/>
        </w:rPr>
        <w:pict>
          <v:shape id="_x0000_i1165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; 500 мест - 70 м</w:t>
      </w:r>
      <w:r>
        <w:rPr>
          <w:rFonts w:ascii="Times New Roman" w:hAnsi="Times New Roman"/>
          <w:position w:val="-4"/>
          <w:sz w:val="20"/>
        </w:rPr>
        <w:pict>
          <v:shape id="_x0000_i1166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Кинотеатры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4.2.21. Кинотеатры  следует проектировать</w:t>
      </w:r>
      <w:r>
        <w:rPr>
          <w:rFonts w:ascii="Times New Roman" w:hAnsi="Times New Roman"/>
          <w:sz w:val="20"/>
        </w:rPr>
        <w:t xml:space="preserve"> закрытыми.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4.2.2 . При входах и выходах следует предусматривать тройные тамбуры и кладовые уборочного инвентаря  до 3 м</w:t>
      </w:r>
      <w:r>
        <w:rPr>
          <w:rFonts w:ascii="Times New Roman" w:hAnsi="Times New Roman"/>
          <w:position w:val="-4"/>
          <w:sz w:val="20"/>
        </w:rPr>
        <w:pict>
          <v:shape id="_x0000_i1167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4.2.2. При отсутствии гардероба площадь зрительного зала следует увеличить на 10%. 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проектировании кинотеатров с помещениями  для клубной работы необходимо дополнительно соблюдать BCН 45-86.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Клубы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4.2.24. В составе клубов следует предусмотреть спортивную группу помещений.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4.2.25. В составе помещений зрелищной группы возможно размещение нескольких зрительных залов. При этом </w:t>
      </w:r>
      <w:r>
        <w:rPr>
          <w:rFonts w:ascii="Times New Roman" w:hAnsi="Times New Roman"/>
          <w:sz w:val="20"/>
        </w:rPr>
        <w:t>оптимальная вместимость зала составляет не более 600 мест.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4.2.26. Допускается объединение зрительного зала, фойе, танцевального,  выставочного, спортивного залов в общее рекреационное пространство.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4.2.27. При  проектировании помещений спортивного назначения площади определяются в соответствии с ВСН 46-86.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4.2.28. Следует предусмотреть тройные тамбуры при входах и выходах и кладовые для хранения уборочного инвентаря (до 3 м</w:t>
      </w:r>
      <w:r>
        <w:rPr>
          <w:rFonts w:ascii="Times New Roman" w:hAnsi="Times New Roman"/>
          <w:position w:val="-4"/>
          <w:sz w:val="20"/>
        </w:rPr>
        <w:pict>
          <v:shape id="_x0000_i1168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4.2.29. В спортивных учреждениях норму раздевальных следует принимать из рас</w:t>
      </w:r>
      <w:r>
        <w:rPr>
          <w:rFonts w:ascii="Times New Roman" w:hAnsi="Times New Roman"/>
          <w:sz w:val="20"/>
        </w:rPr>
        <w:t>чета 1,3 м</w:t>
      </w:r>
      <w:r>
        <w:rPr>
          <w:rFonts w:ascii="Times New Roman" w:hAnsi="Times New Roman"/>
          <w:position w:val="-4"/>
          <w:sz w:val="20"/>
        </w:rPr>
        <w:pict>
          <v:shape id="_x0000_i1169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на одно место независимо от  расчетного числа мест.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4.2.30. Помещения для отдыха занимающихся следует предусматривать на 50% пропускной способности в смену для учебно-тренировочных и физкультурно-оздоровительных занятий.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4.2.31. Теплый переход из раздевальных в помещения для физкультурно-оздоровительных  занятий следует делать не более, чем с одной охлаждающей поверхностью ограждения.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4.2.32. Бани сухого  жара  допускается устраивать при всех спортивных и физкультурно-оздоровительных сооруж</w:t>
      </w:r>
      <w:r>
        <w:rPr>
          <w:rFonts w:ascii="Times New Roman" w:hAnsi="Times New Roman"/>
          <w:sz w:val="20"/>
        </w:rPr>
        <w:t xml:space="preserve">ениях (согласно п. 1.7.9 настоящих норм). Допускается устройство соляриев и фотариев. Необходимость их устройства определяется заданием на проектирование.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Предприятия торговли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4.2.33. В магазинах для базовых поселков, торговой площадью 100 м </w:t>
      </w:r>
      <w:r>
        <w:rPr>
          <w:rFonts w:ascii="Times New Roman" w:hAnsi="Times New Roman"/>
          <w:position w:val="-4"/>
          <w:sz w:val="20"/>
        </w:rPr>
        <w:pict>
          <v:shape id="_x0000_i1170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и более,  должны быть отделы заказов.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4.2.34. Допускается увеличение кладовых и охлаждаемых камер в 1,5 раза.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Предприятия общественного питания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4.2.35. В предприятиях  общественного питания с одновременным потоком посетителей при одно-двухразовой сменности об</w:t>
      </w:r>
      <w:r>
        <w:rPr>
          <w:rFonts w:ascii="Times New Roman" w:hAnsi="Times New Roman"/>
          <w:sz w:val="20"/>
        </w:rPr>
        <w:t xml:space="preserve">служивания (вахтовые поселки) допускается удваивать количество санитарных приборов, а площадь вестибюля следует  увеличивать до 30%  против установленной настоящими нормами.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4.2.36. Разгрузочные места и платформы на базовых заготовочных предприятиях общественного питания следует предусматривать в отапливаемых помещениях.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4.2.37. Камера пищевых отходов может предусматриваться вне здания, в хозяйственной зоне предприятия.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4.2.38. При входах в здания предприятий общественного питания следует предусматрив</w:t>
      </w:r>
      <w:r>
        <w:rPr>
          <w:rFonts w:ascii="Times New Roman" w:hAnsi="Times New Roman"/>
          <w:sz w:val="20"/>
        </w:rPr>
        <w:t>ать устройство тройных неостекленных тамбуров и кладовую (площадью 3-5 м</w:t>
      </w:r>
      <w:r>
        <w:rPr>
          <w:rFonts w:ascii="Times New Roman" w:hAnsi="Times New Roman"/>
          <w:position w:val="-4"/>
          <w:sz w:val="20"/>
        </w:rPr>
        <w:pict>
          <v:shape id="_x0000_i1171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) уборочного инвентаря для расчистки прилегающей территории при снегозаносах.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4.2.39. Площади кладовых сухих продуктов, овощей, солений, квашений, тары и инвентаря допускается увеличивать до 50%.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ПРЕДПРИЯТИЯ БЫТОВОГО ОБСЛУЖИВАНИЯ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4.2.40. Комплексные приемные пункты, дома быта следует кооперировать с банями, банно-оздоровительными комплексами, прачечными и размещать их в комплексах с общежитиями и гостиницами и в торговых центрах.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4.2.41. На предприятиях бытового обслуживания следует предусматривать комнату для сушки одежды и обуви  площадью от 3-х до 6 м</w:t>
      </w:r>
      <w:r>
        <w:rPr>
          <w:rFonts w:ascii="Times New Roman" w:hAnsi="Times New Roman"/>
          <w:position w:val="-4"/>
          <w:sz w:val="20"/>
        </w:rPr>
        <w:pict>
          <v:shape id="_x0000_i1172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4.2.42.  Следует предусматривать устройство кладовых уборочного инвентаря для расчистки территории, площадью  от 1,5  до 3,0 м</w:t>
      </w:r>
      <w:r>
        <w:rPr>
          <w:rFonts w:ascii="Times New Roman" w:hAnsi="Times New Roman"/>
          <w:position w:val="-4"/>
          <w:sz w:val="20"/>
        </w:rPr>
        <w:pict>
          <v:shape id="_x0000_i1173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4.2.43. Оконные проемы помещений должны быть с минимальными, установленными СНиП II-4-79, значениями КЕО. Не допускается ориентировать их на север.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4.2.44. Соотношение мест раздевальной, мыльной (или душевой), парильной в банях следует принимать ка</w:t>
      </w:r>
      <w:r>
        <w:rPr>
          <w:rFonts w:ascii="Times New Roman" w:hAnsi="Times New Roman"/>
          <w:sz w:val="20"/>
        </w:rPr>
        <w:t xml:space="preserve">к 100:70:50.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4.2.45. В банях и банно-оздоровительных комплексах до 50 мест допускается предусматривать группу помещений оздоровительно-профилактического назначения,   в том числе фотарии, оздоровительные ванны, комнаты отдыха, площади которых определяются заданием на проектирование.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4.2.46. Допускается  кооперирование прачечных с предприятиями химчистки,  банями и котельными.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4.2.47. Здания прачечных производительностью  500 кг сухого белья в смену и более должны иметь помещения для  въезда  автомобиле</w:t>
      </w:r>
      <w:r>
        <w:rPr>
          <w:rFonts w:ascii="Times New Roman" w:hAnsi="Times New Roman"/>
          <w:sz w:val="20"/>
        </w:rPr>
        <w:t xml:space="preserve">й, разгрузки и погрузки белья.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4.3. Конструктивные решения жилых зданий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4.3.1. Типовые проекты жилых домов должны содержать варианты технических решений конструкций фундаментов и надземной части, отвечающие I и II принципам использования вечномерзлого основания, и руководство по привязке их к местным условиям.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4.3.2. Под зданиями, возводимыми на вечномерзлых грунтах, используемых по I принципу, следует предусматривать вентилируемое холодное подполье с расположенным  над ним техническим этажом,  предназ</w:t>
      </w:r>
      <w:r>
        <w:rPr>
          <w:rFonts w:ascii="Times New Roman" w:hAnsi="Times New Roman"/>
          <w:sz w:val="20"/>
        </w:rPr>
        <w:t>наченным для размещения инженерных сетей.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4.3.3.  В качестве основного типа фундаментов зданий, строящихся по I принципу, следует применять свайный со сборными ростверками или безростверковый.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4.3.4. Здания, строительство которых предусматривает II принцип использования вечномерзлых грунтов основания, должны, как правило,  иметь перекрестно-стеновую конструктивную систему с частым шагом поперечных несущих стен и наружными стенами однорядной разрезки.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Проектирование  зданий при этом  должно сопровождать</w:t>
      </w:r>
      <w:r>
        <w:rPr>
          <w:rFonts w:ascii="Times New Roman" w:hAnsi="Times New Roman"/>
          <w:sz w:val="20"/>
        </w:rPr>
        <w:t>ся расчетом системы здание-основание  на воздействие неравномерной осадки грунта вследствие его оттаивания в процессе эксплуатации.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4.3.5. Наружные стены  следует, как правило, проектировать трехслойными  из тяжелого бетона  или бетона на легких заполнителях и эффективных утеплителей, в основном пенопластов.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Внутренние слои  панелей  проектируются с учетом их совместной работы с несущими  конструкциями при температурно-влажностных деформациях и неравномерной осадке здания.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4.3.6. Приспособление констру</w:t>
      </w:r>
      <w:r>
        <w:rPr>
          <w:rFonts w:ascii="Times New Roman" w:hAnsi="Times New Roman"/>
          <w:sz w:val="20"/>
        </w:rPr>
        <w:t>кций зданий и сооружений к восприятию повышенных деформаций основания должно осуществляться: повышением прочности и общей пространственной жесткости здания и  сооружения, достигаемой устройством поэтажных железобетонных или армокирпичных поясов, связанных с перекрытиями; усилением aрмирования конструкций, в частности простенков; применением  сквозных  арматурных поясов в перекрытиях и усилением  связей  и соединений сборных элементов здания; разрезкой здания на короткие отсеки, усилением  фундаментов и несу</w:t>
      </w:r>
      <w:r>
        <w:rPr>
          <w:rFonts w:ascii="Times New Roman" w:hAnsi="Times New Roman"/>
          <w:sz w:val="20"/>
        </w:rPr>
        <w:t xml:space="preserve">щих конструкций подвалов, в том числе путем применения перекрестной системы стен из крупных панелей,  сборно-монолитных и монолитных перекрестных  ленточных фундаментов.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грунтах с низкой фильтрационной способностью расчет осадок выполняется с учетом фактора времени, что обусловлено увеличением глубины оттаивания и фильтрационной консолидацией грунта.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Расчетная модель здания в совокупности  с фундаментом в зависимости от их конструктивного исполнения  принимается: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для протяженных зданий - в виде ба</w:t>
      </w:r>
      <w:r>
        <w:rPr>
          <w:rFonts w:ascii="Times New Roman" w:hAnsi="Times New Roman"/>
          <w:sz w:val="20"/>
        </w:rPr>
        <w:t>лки или системы  параллельных балок с приведенной изгибной и сдвиговой жесткостями и объединенных по длине распределенными связями;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для зданий незначительной протяженности, а также  их отдельных осадочных отсеков  - в виде плоской или пространственной системы  вертикальных диафрагм, соединенных распределенными связями;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в) для зданий каркасной конструкции - в виде пространственной рамы.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качестве расчетных моделей основания при этом  принимаются: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непрерывное деформируемое  и искривляемое основание</w:t>
      </w:r>
      <w:r>
        <w:rPr>
          <w:rFonts w:ascii="Times New Roman" w:hAnsi="Times New Roman"/>
          <w:sz w:val="20"/>
        </w:rPr>
        <w:t xml:space="preserve"> с переменными по длине и во времени коэффициентами жесткости   и параметрами искривления;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совокупность точечных податливых, оседающих опор с переменными во времени жесткостными  характеристиками (при сжатии, сдвиге и повороте) и перемещениями опор.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4.3.7. В жилых зданиях допускается устройство крыш с  теплым чердаком при соответствующем технико-экономическом обосновании их применения. Чердачное пространство крыши используется в этом случае как сборная вентиляционная камера статического  давления, в ко</w:t>
      </w:r>
      <w:r>
        <w:rPr>
          <w:rFonts w:ascii="Times New Roman" w:hAnsi="Times New Roman"/>
          <w:sz w:val="20"/>
        </w:rPr>
        <w:t>торую открываются все вентиляционные каналы жилых помещений и воздух из которых удаляется через общую вентиляционную шахту.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При проектировании теплых чердаков следует руководствоваться "Рекомендациями по проектированию крыш с теплыми чердаками для жилых зданий различной этажности", ЦНИИЭП жилища, Москва, 1980 и "Рекомендациями по проектированию индустриальных крыш с теплым  чердаком для жилых зданий в I климатическом районе", ЛенЗНИИЭП, Москва, 1987.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4.4. Конструктивные решения общественных зд</w:t>
      </w:r>
      <w:r>
        <w:rPr>
          <w:rFonts w:ascii="Times New Roman" w:hAnsi="Times New Roman"/>
          <w:sz w:val="20"/>
        </w:rPr>
        <w:t xml:space="preserve">аний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4.4.1. Конструктивные системы общественных зданий должны  удовлетворять следующим требованиям: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обеспечения достаточного разнообразия архитектурно-планировочных и объемно-пространственных решений;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эксплуатационной надежности зданий при неблагоприятных  природно-климатических и мерзлотно-геологических условиях;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минимальной номенклатуры  конструкций и межвидовой унификации; унификации   со строительными конструкциями жилых зданий, применяемыми в регионе.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4.4.2. Конструктивную систему рекоменду</w:t>
      </w:r>
      <w:r>
        <w:rPr>
          <w:rFonts w:ascii="Times New Roman" w:hAnsi="Times New Roman"/>
          <w:sz w:val="20"/>
        </w:rPr>
        <w:t>ется проектировать полносборной по каркасной, бескаркасной (крупнопанельной или крупноблочной) или смешанной  схеме.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Выбор типа конструктивной системы должен производиться на основе технико-экономического анализа вариантов с учетом мерзлотно-грунтовых условий строительной площадки, наличия  местной строительной   базы и возможностей поставок по кооперации.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этом предпочтение должно отдаваться конструктивным системам, требующим  минимальных трудозатрат на монтаже элементов при наиболее высокой скорости </w:t>
      </w:r>
      <w:r>
        <w:rPr>
          <w:rFonts w:ascii="Times New Roman" w:hAnsi="Times New Roman"/>
          <w:sz w:val="20"/>
        </w:rPr>
        <w:t>строительства.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4.4.3. При проектировании зданий, строящихся на вечномерзлых грунтах, следует использовать следующие  приемы компоновки: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здание должно быть простой формы в плане с минимальной  поверхностью наружных ограждений;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- размеры здания по длине и ширине не должны превышать 24 м при отсутствии специальных мероприятий по снижению  усилий от температурных деформаций (при строительстве на вечномерзлых грунтах по принципу I).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 обоснованной необходимости нарушить указанное требование  здания дол</w:t>
      </w:r>
      <w:r>
        <w:rPr>
          <w:rFonts w:ascii="Times New Roman" w:hAnsi="Times New Roman"/>
          <w:sz w:val="20"/>
        </w:rPr>
        <w:t xml:space="preserve">жны  быть разрезаны деформационными швами на отсеки, каждый из которых должен  удовлетворять указанным требованиям.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Целесообразность назначения размеров здания в плане должна быть обоснована технико-экономическим расчетом.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4.4.4. При проектировании каркасных зданий с использованием фундаментов в виде свай, вмороженных в грунт, с высоким свайным ростверком при I принципе строительства следует предусматривать специальные мероприятия по уменьшению усилий от температурных деформаций в конструкциях каркаса и </w:t>
      </w:r>
      <w:r>
        <w:rPr>
          <w:rFonts w:ascii="Times New Roman" w:hAnsi="Times New Roman"/>
          <w:sz w:val="20"/>
        </w:rPr>
        <w:t>свайных фундаментах.  В качестве таких мероприятий следует применять специальные "скользящие"  прокладки между колоннами каркаса и фундаментом, а также между  плитами перекрытий над холодным подпольем и фундаментами из материалов с  пониженными коэффициентами трения  (0,05-0,15).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4.4.5. Деформационные швы в зданиях следует решать с помощью установки парных стен, парных рам, буферных пролетов.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проектах зданий должны  быть указаны мероприятия  по тепло-  и влагоизоляции помещений, примыкающих к деформацио</w:t>
      </w:r>
      <w:r>
        <w:rPr>
          <w:rFonts w:ascii="Times New Roman" w:hAnsi="Times New Roman"/>
          <w:sz w:val="20"/>
        </w:rPr>
        <w:t xml:space="preserve">нным швам, с учетом  возможных изменений  размеров швов в процессе температурных деформаций  конструкций и неравномерных  осадок фундаментов.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4.4.6. При использовании вечномерзлых грунтов в качестве основания по принципу II под зданием или отсеком допускается устраивать подвалы или технические подполья. Их следует размещать  под всем зданием.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наличии соответствующих обоснований допускается устройство подвала (технического подполья) под частью здания или отсека при обязательном симметричном его распо</w:t>
      </w:r>
      <w:r>
        <w:rPr>
          <w:rFonts w:ascii="Times New Roman" w:hAnsi="Times New Roman"/>
          <w:sz w:val="20"/>
        </w:rPr>
        <w:t>ложении  относительно осей здания или отсека.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Стены подвала выполняются перекрестными, непрерывными на всю длину (ширину) отсека или здания. При необходимости устройства проемов их целесообразно располагать в средней части пролета. Высоту надпроемной перемычки назначать не менее 50 см.  Стены подвала могут быть выполнены из бетонных блоков с монолитными железобетонными поясами по верху и низу блоков или крупных панелей.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4.4.7. При устройстве холодного подполья решение цокольной части возможно в 2-х вариан</w:t>
      </w:r>
      <w:r>
        <w:rPr>
          <w:rFonts w:ascii="Times New Roman" w:hAnsi="Times New Roman"/>
          <w:sz w:val="20"/>
        </w:rPr>
        <w:t>тах: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с устройством технического этажа или технического подполья (инженерные  коммуникации размещаются в техническом этаже над холодным подпольем);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 без устройства технического этажа или технического подполья (инженерные коммуникации размещаются в толще пола перекрытия над холодным подпольем).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Последнее из этих решений целесообразно использовать при небольших габаритах здания в плане.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Выбор одного из этих решений должен производиться на основе технико-экономического анализа.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Устройство подвальных и </w:t>
      </w:r>
      <w:r>
        <w:rPr>
          <w:rFonts w:ascii="Times New Roman" w:hAnsi="Times New Roman"/>
          <w:sz w:val="20"/>
        </w:rPr>
        <w:t>цокольных этажей, заглубленных в грунт, не допускается.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Наружные стены рекомендуется выполнять легкими, ненесущими из индустриальных элементов с использованием местных материалов.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4.4.8. Основной конструктивной схемой сейсмостойких каркасных общественных зданий следует принимать рамно-связевую систему с постановкой диафрагм жестокости в двух перпендикулярных направлениях для обеспечения пространственной жесткости и устойчивости здания. Для 1-2-этажных зданий возможно применение рамной схемы с обязательно</w:t>
      </w:r>
      <w:r>
        <w:rPr>
          <w:rFonts w:ascii="Times New Roman" w:hAnsi="Times New Roman"/>
          <w:sz w:val="20"/>
        </w:rPr>
        <w:t>й заделкой колонн в подколонники и ростверки.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Расчетная модель  зданий в  этом случае может быть принята дискретной и должна учитывать податливость узловых соединений как  при температурных деформациях зданий, так и при сейсмических воздействиях.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4.5. Инженерное оборудование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Проектирование системы инженерного  оборудования жилых и общественных зданий должно выполняться согласным требованиям СНиП 2.08.01-85, II-3-79, 2.04.05-86, 2.04.01-85 с внесением следующих изменений.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4.5.1. При строительстве зданий</w:t>
      </w:r>
      <w:r>
        <w:rPr>
          <w:rFonts w:ascii="Times New Roman" w:hAnsi="Times New Roman"/>
          <w:sz w:val="20"/>
        </w:rPr>
        <w:t xml:space="preserve"> с проветриваемыми  подпольями необходимо учитывать дополнительные потери тепла за счет инфильтрации через перекрытие над подпольем.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4.5.2. В помещениях подвалов и технических подполий зданий, размещаемых вне районов вечной мерзлоты, температуру воздуха следует принимать не ниже +10°С, а в районах распространения вечномерзлых грунтов не ниже +5°С.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4.5.3. Жилые здания допускается оборудовать централизованными системами приточно-вытяжной вентиляции с механическим побуждением и с устройством утилизации тепла</w:t>
      </w:r>
      <w:r>
        <w:rPr>
          <w:rFonts w:ascii="Times New Roman" w:hAnsi="Times New Roman"/>
          <w:sz w:val="20"/>
        </w:rPr>
        <w:t xml:space="preserve"> удаляемого воздуха при соответствующем технико-экономическом обосновании.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Допускается жилые дома оборудовать приточными системами вентиляции с естественным побуждением и с обязательным регулированием расхода воздуха в зависимости от изменения температуры наружного воздуха. Кратность воздухообмена по притоку в жилых комнатах принимать равной 2,5.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4.5.4. Для многоэтажных общественных зданий (3 этажа и более) необходимо проектировать устройство приточной вентиляции с механическим побуждением для обеспечени</w:t>
      </w:r>
      <w:r>
        <w:rPr>
          <w:rFonts w:ascii="Times New Roman" w:hAnsi="Times New Roman"/>
          <w:sz w:val="20"/>
        </w:rPr>
        <w:t>я требуемых метеорологических условий (температуры и влажности воздуха) в холодный и переходный периоды года и избыточного давления в помещениях. Количество приточного воздуха должно превышать организованную вытяжку в размере не менее  однократного воздухообмена в помещении в час.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4.5.5. Для предупреждения замерзания воды или конденсата в калориферах в дополнение к мерам защиты допускается предусматривать установку калориферов для подогрева рециркуляционного воздуха или устройства обводного воздуховода с у</w:t>
      </w:r>
      <w:r>
        <w:rPr>
          <w:rFonts w:ascii="Times New Roman" w:hAnsi="Times New Roman"/>
          <w:sz w:val="20"/>
        </w:rPr>
        <w:t>становкой калорифера для частичного подогрева наружного воздуха перед поступлением  его в основные калориферы системы.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4.5.6. Вытяжные вентиляционные шахты и вентиляционные участки канализационных стояков на кровле, а также в неотапливаемых объемах конструкции кровли следует предусматривать утепленными.  Общее сопротивление теплопередаче стенок указанных шахт и стояков должно быть не менее 0,6 общего сопротивления теплопередаче покрытия теплых чердаков для данных климатических условий.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4.5.7. В жилых здан</w:t>
      </w:r>
      <w:r>
        <w:rPr>
          <w:rFonts w:ascii="Times New Roman" w:hAnsi="Times New Roman"/>
          <w:sz w:val="20"/>
        </w:rPr>
        <w:t>иях следует предусматривать из сушильных шкафов вытяжную  вентиляцию с объемом вытяжного воздуха 30 м</w:t>
      </w:r>
      <w:r>
        <w:rPr>
          <w:rFonts w:ascii="Times New Roman" w:hAnsi="Times New Roman"/>
          <w:position w:val="-4"/>
          <w:sz w:val="20"/>
        </w:rPr>
        <w:pict>
          <v:shape id="_x0000_i1174" type="#_x0000_t75" style="width:9pt;height:17.25pt">
            <v:imagedata r:id="rId6" o:title=""/>
          </v:shape>
        </w:pict>
      </w:r>
      <w:r>
        <w:rPr>
          <w:rFonts w:ascii="Times New Roman" w:hAnsi="Times New Roman"/>
          <w:sz w:val="20"/>
        </w:rPr>
        <w:t>/ч и с температурой воздуха внутри помещений +30°С.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4.5.8. Мусороприемная камера должна располагаться в 1 этаже. Вход в мусороприемную камеру должен быть изолированным от входа в здание и в другие помещения  и предусматриваться через утепленный тамбур с размерами, исключающими одновременное открывание входных дверей при вывозе мусоросборника. Входные двери должны быть с уплотненными притворами. Располагать</w:t>
      </w:r>
      <w:r>
        <w:rPr>
          <w:rFonts w:ascii="Times New Roman" w:hAnsi="Times New Roman"/>
          <w:sz w:val="20"/>
        </w:rPr>
        <w:t xml:space="preserve"> мусоропроводы в стенах, ограждающие жилые комнаты, не  допускается.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Расчетную  температуру воздуха в мусороприемной камере следует принимать +10°С.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Конструкции мусороприемных камер  должны быть несгораемыми с пределом огнестойкости не менее 1 ч.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Оборудование водопровода и канализации в мусороприемных  камерах допускается не предусматривать.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4.5.9. Требуемое сопротивление теплопередаче ограждающих конструкций жилых и общественных зданий  R</w:t>
      </w:r>
      <w:r>
        <w:rPr>
          <w:rFonts w:ascii="Times New Roman" w:hAnsi="Times New Roman"/>
          <w:position w:val="-10"/>
          <w:sz w:val="20"/>
        </w:rPr>
        <w:pict>
          <v:shape id="_x0000_i1175" type="#_x0000_t75" style="width:12pt;height:21pt">
            <v:imagedata r:id="rId27" o:title=""/>
          </v:shape>
        </w:pict>
      </w:r>
      <w:r>
        <w:rPr>
          <w:rFonts w:ascii="Times New Roman" w:hAnsi="Times New Roman"/>
          <w:sz w:val="20"/>
        </w:rPr>
        <w:t xml:space="preserve"> м</w:t>
      </w:r>
      <w:r>
        <w:rPr>
          <w:rFonts w:ascii="Times New Roman" w:hAnsi="Times New Roman"/>
          <w:position w:val="-4"/>
          <w:sz w:val="20"/>
        </w:rPr>
        <w:pict>
          <v:shape id="_x0000_i1176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°С/Вт следует определять согласно п. 2.2 СНиП II-3-79**, пред</w:t>
      </w:r>
      <w:r>
        <w:rPr>
          <w:rFonts w:ascii="Times New Roman" w:hAnsi="Times New Roman"/>
          <w:sz w:val="20"/>
        </w:rPr>
        <w:t>усмотрев для районов Севера: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Температуру внутреннего воздуха  t</w:t>
      </w:r>
      <w:r>
        <w:rPr>
          <w:rFonts w:ascii="Times New Roman" w:hAnsi="Times New Roman"/>
          <w:position w:val="-10"/>
          <w:sz w:val="20"/>
        </w:rPr>
        <w:pict>
          <v:shape id="_x0000_i1177" type="#_x0000_t75" style="width:9pt;height:15.75pt">
            <v:imagedata r:id="rId16" o:title=""/>
          </v:shape>
        </w:pict>
      </w:r>
      <w:r>
        <w:rPr>
          <w:rFonts w:ascii="Times New Roman" w:hAnsi="Times New Roman"/>
          <w:sz w:val="20"/>
        </w:rPr>
        <w:t>°C  в формуле (1) 22°С;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Нормативный температурный перепад для наружных торцевых стен зданий, указанных в пп. 1, 2 таблицы 2*, </w:t>
      </w:r>
      <w:r>
        <w:rPr>
          <w:rFonts w:ascii="Times New Roman" w:hAnsi="Times New Roman"/>
          <w:position w:val="-4"/>
          <w:sz w:val="20"/>
        </w:rPr>
        <w:pict>
          <v:shape id="_x0000_i1178" type="#_x0000_t75" style="width:12pt;height:12.75pt">
            <v:imagedata r:id="rId10" o:title=""/>
          </v:shape>
        </w:pict>
      </w:r>
      <w:r>
        <w:rPr>
          <w:rFonts w:ascii="Times New Roman" w:hAnsi="Times New Roman"/>
          <w:sz w:val="20"/>
        </w:rPr>
        <w:t>t = 4°С,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Уменьшение нормативного температурного перепада для торцевых стен позволяет избежать радиационного переохлаждения людей, находящихся в угловых помещениях, и даст возможность более рационально использовать их площадь за счет расположения рабочих и спальных мест вблизи торцевых стен.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</w:t>
      </w:r>
      <w:r>
        <w:rPr>
          <w:rFonts w:ascii="Times New Roman" w:hAnsi="Times New Roman"/>
          <w:sz w:val="20"/>
        </w:rPr>
        <w:t>ение 1.</w:t>
      </w: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1.1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Температура наружного воздуха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1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4"/>
        <w:gridCol w:w="510"/>
        <w:gridCol w:w="510"/>
        <w:gridCol w:w="510"/>
        <w:gridCol w:w="510"/>
        <w:gridCol w:w="510"/>
        <w:gridCol w:w="511"/>
        <w:gridCol w:w="510"/>
        <w:gridCol w:w="510"/>
        <w:gridCol w:w="5"/>
        <w:gridCol w:w="572"/>
        <w:gridCol w:w="499"/>
        <w:gridCol w:w="533"/>
        <w:gridCol w:w="490"/>
        <w:gridCol w:w="605"/>
        <w:gridCol w:w="701"/>
        <w:gridCol w:w="6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02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Пункт </w:t>
            </w:r>
          </w:p>
        </w:tc>
        <w:tc>
          <w:tcPr>
            <w:tcW w:w="10206" w:type="dxa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Температура наружного воздуха, </w:t>
            </w:r>
            <w:r>
              <w:rPr>
                <w:rFonts w:ascii="Times New Roman" w:hAnsi="Times New Roman"/>
                <w:position w:val="-4"/>
              </w:rPr>
              <w:pict>
                <v:shape id="_x0000_i1179" type="#_x0000_t75" style="width:9pt;height:17.25pt">
                  <v:imagedata r:id="rId25" o:title=""/>
                </v:shape>
              </w:pict>
            </w: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208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Период со средней суточной температурой воздуха </w:t>
            </w:r>
          </w:p>
        </w:tc>
        <w:tc>
          <w:tcPr>
            <w:tcW w:w="60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Сред- няя </w:t>
            </w:r>
          </w:p>
        </w:tc>
        <w:tc>
          <w:tcPr>
            <w:tcW w:w="701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Продол- житель-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" w:type="dxa"/>
        </w:trPr>
        <w:tc>
          <w:tcPr>
            <w:tcW w:w="1021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6124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Средняя по месяцам</w:t>
            </w: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Сре- дне- годо- вая </w:t>
            </w:r>
          </w:p>
        </w:tc>
        <w:tc>
          <w:tcPr>
            <w:tcW w:w="5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Аб- со- лют- ная ми- ни- 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Абсо- лют- ная мак- си- маль-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Сред- няя мак- си- маль- ная</w:t>
            </w:r>
          </w:p>
        </w:tc>
        <w:tc>
          <w:tcPr>
            <w:tcW w:w="10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Наиболее холодных суток, обеспе- ченностью </w:t>
            </w:r>
          </w:p>
        </w:tc>
        <w:tc>
          <w:tcPr>
            <w:tcW w:w="1021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Наиболее холодной пяти- дневки, обеспе- ченностью </w:t>
            </w:r>
          </w:p>
        </w:tc>
        <w:tc>
          <w:tcPr>
            <w:tcW w:w="1066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 id="_x0000_i1180" type="#_x0000_t75" style="width:9.75pt;height:12pt">
                  <v:imagedata r:id="rId28" o:title=""/>
                </v:shape>
              </w:pict>
            </w:r>
            <w:r>
              <w:rPr>
                <w:rFonts w:ascii="Times New Roman" w:hAnsi="Times New Roman"/>
              </w:rPr>
              <w:t xml:space="preserve"> 8</w:t>
            </w:r>
            <w:r>
              <w:rPr>
                <w:rFonts w:ascii="Times New Roman" w:hAnsi="Times New Roman"/>
                <w:position w:val="-4"/>
              </w:rPr>
              <w:pict>
                <v:shape id="_x0000_i1181" type="#_x0000_t75" style="width:9pt;height:17.25pt">
                  <v:imagedata r:id="rId25" o:title=""/>
                </v:shape>
              </w:pict>
            </w:r>
            <w:r>
              <w:rPr>
                <w:rFonts w:ascii="Times New Roman" w:hAnsi="Times New Roman"/>
              </w:rPr>
              <w:t xml:space="preserve">С </w:t>
            </w:r>
          </w:p>
        </w:tc>
        <w:tc>
          <w:tcPr>
            <w:tcW w:w="102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 id="_x0000_i1182" type="#_x0000_t75" style="width:9.75pt;height:12pt">
                  <v:imagedata r:id="rId28" o:title=""/>
                </v:shape>
              </w:pict>
            </w:r>
            <w:r>
              <w:rPr>
                <w:rFonts w:ascii="Times New Roman" w:hAnsi="Times New Roman"/>
              </w:rPr>
              <w:t xml:space="preserve"> 10</w:t>
            </w:r>
            <w:r>
              <w:rPr>
                <w:rFonts w:ascii="Times New Roman" w:hAnsi="Times New Roman"/>
                <w:position w:val="-4"/>
              </w:rPr>
              <w:pict>
                <v:shape id="_x0000_i1183" type="#_x0000_t75" style="width:9pt;height:17.25pt">
                  <v:imagedata r:id="rId25" o:title=""/>
                </v:shape>
              </w:pict>
            </w:r>
            <w:r>
              <w:rPr>
                <w:rFonts w:ascii="Times New Roman" w:hAnsi="Times New Roman"/>
              </w:rPr>
              <w:t xml:space="preserve">С </w:t>
            </w:r>
          </w:p>
        </w:tc>
        <w:tc>
          <w:tcPr>
            <w:tcW w:w="604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тем- пера- тура на- ибо- лее хо- </w:t>
            </w:r>
          </w:p>
        </w:tc>
        <w:tc>
          <w:tcPr>
            <w:tcW w:w="70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ность периода со сред не- суточ- ной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 </w:t>
            </w:r>
          </w:p>
        </w:tc>
        <w:tc>
          <w:tcPr>
            <w:tcW w:w="5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II </w:t>
            </w:r>
          </w:p>
        </w:tc>
        <w:tc>
          <w:tcPr>
            <w:tcW w:w="5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III </w:t>
            </w:r>
          </w:p>
        </w:tc>
        <w:tc>
          <w:tcPr>
            <w:tcW w:w="5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 </w:t>
            </w:r>
          </w:p>
        </w:tc>
        <w:tc>
          <w:tcPr>
            <w:tcW w:w="5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VI </w:t>
            </w:r>
          </w:p>
        </w:tc>
        <w:tc>
          <w:tcPr>
            <w:tcW w:w="5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VII </w:t>
            </w:r>
          </w:p>
        </w:tc>
        <w:tc>
          <w:tcPr>
            <w:tcW w:w="5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VII </w:t>
            </w:r>
          </w:p>
        </w:tc>
        <w:tc>
          <w:tcPr>
            <w:tcW w:w="5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IX </w:t>
            </w:r>
          </w:p>
        </w:tc>
        <w:tc>
          <w:tcPr>
            <w:tcW w:w="5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X </w:t>
            </w:r>
          </w:p>
        </w:tc>
        <w:tc>
          <w:tcPr>
            <w:tcW w:w="5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XI </w:t>
            </w:r>
          </w:p>
        </w:tc>
        <w:tc>
          <w:tcPr>
            <w:tcW w:w="5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XII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маль-ная 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ная</w:t>
            </w:r>
          </w:p>
        </w:tc>
        <w:tc>
          <w:tcPr>
            <w:tcW w:w="51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наиболее жар- кого ме- сяца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0,98 </w:t>
            </w:r>
          </w:p>
        </w:tc>
        <w:tc>
          <w:tcPr>
            <w:tcW w:w="5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0,92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0,98 </w:t>
            </w:r>
          </w:p>
        </w:tc>
        <w:tc>
          <w:tcPr>
            <w:tcW w:w="5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0,92 </w:t>
            </w:r>
          </w:p>
        </w:tc>
        <w:tc>
          <w:tcPr>
            <w:tcW w:w="573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Про- дол- жи- тель- ность, сут</w:t>
            </w:r>
          </w:p>
        </w:tc>
        <w:tc>
          <w:tcPr>
            <w:tcW w:w="49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Сред- няя тем- пера- тура,</w:t>
            </w: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Symbol" w:char="F0B0"/>
            </w: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53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Про- дол- жи- тель- ность, сут</w:t>
            </w:r>
          </w:p>
        </w:tc>
        <w:tc>
          <w:tcPr>
            <w:tcW w:w="4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Сред- няя тем- пера- тура,</w:t>
            </w: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Symbol" w:char="F0B0"/>
            </w: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605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лод- ного пери-ода, </w:t>
            </w: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position w:val="-4"/>
              </w:rPr>
              <w:pict>
                <v:shape id="_x0000_i1184" type="#_x0000_t75" style="width:9pt;height:17.25pt">
                  <v:imagedata r:id="rId25" o:title=""/>
                </v:shape>
              </w:pict>
            </w:r>
            <w:r>
              <w:rPr>
                <w:rFonts w:ascii="Times New Roman" w:hAnsi="Times New Roman"/>
              </w:rPr>
              <w:t xml:space="preserve">С </w:t>
            </w:r>
          </w:p>
        </w:tc>
        <w:tc>
          <w:tcPr>
            <w:tcW w:w="707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температурой </w:t>
            </w:r>
            <w:r>
              <w:rPr>
                <w:rFonts w:ascii="Times New Roman" w:hAnsi="Times New Roman"/>
                <w:position w:val="-4"/>
              </w:rPr>
              <w:pict>
                <v:shape id="_x0000_i1185" type="#_x0000_t75" style="width:9pt;height:17.25pt">
                  <v:imagedata r:id="rId25" o:title=""/>
                </v:shape>
              </w:pict>
            </w:r>
            <w:r>
              <w:rPr>
                <w:rFonts w:ascii="Times New Roman" w:hAnsi="Times New Roman"/>
              </w:rPr>
              <w:t xml:space="preserve">С, сут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 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 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 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 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 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 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 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 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 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 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 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 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 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 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18 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 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 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21 </w:t>
            </w:r>
          </w:p>
        </w:tc>
        <w:tc>
          <w:tcPr>
            <w:tcW w:w="5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22 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23 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24 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 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26 </w:t>
            </w:r>
          </w:p>
        </w:tc>
        <w:tc>
          <w:tcPr>
            <w:tcW w:w="7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Ларьяк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-22,4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-19,4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-12,5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-3,3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4,4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13,2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17,1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13,6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7,8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-1,9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-14,6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-21,6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-3,3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-56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35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22,6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-51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-48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-45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-43 </w:t>
            </w:r>
          </w:p>
        </w:tc>
        <w:tc>
          <w:tcPr>
            <w:tcW w:w="573" w:type="dxa"/>
            <w:gridSpan w:val="2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256 </w:t>
            </w:r>
          </w:p>
        </w:tc>
        <w:tc>
          <w:tcPr>
            <w:tcW w:w="499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-10,4 </w:t>
            </w:r>
          </w:p>
        </w:tc>
        <w:tc>
          <w:tcPr>
            <w:tcW w:w="533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274 </w:t>
            </w:r>
          </w:p>
        </w:tc>
        <w:tc>
          <w:tcPr>
            <w:tcW w:w="489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-9 </w:t>
            </w:r>
          </w:p>
        </w:tc>
        <w:tc>
          <w:tcPr>
            <w:tcW w:w="605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-28 </w:t>
            </w:r>
          </w:p>
        </w:tc>
        <w:tc>
          <w:tcPr>
            <w:tcW w:w="707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Мужи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-22,4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-20,8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-15,8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-6,8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0,2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9,2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14,4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5,8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-3,2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-13,9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-19,9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-5,1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-54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32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18,7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-49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-47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-44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-43 </w:t>
            </w:r>
          </w:p>
        </w:tc>
        <w:tc>
          <w:tcPr>
            <w:tcW w:w="573" w:type="dxa"/>
            <w:gridSpan w:val="2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277 </w:t>
            </w:r>
          </w:p>
        </w:tc>
        <w:tc>
          <w:tcPr>
            <w:tcW w:w="499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-10,6 </w:t>
            </w:r>
          </w:p>
        </w:tc>
        <w:tc>
          <w:tcPr>
            <w:tcW w:w="533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294 </w:t>
            </w:r>
          </w:p>
        </w:tc>
        <w:tc>
          <w:tcPr>
            <w:tcW w:w="489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-9 </w:t>
            </w:r>
          </w:p>
        </w:tc>
        <w:tc>
          <w:tcPr>
            <w:tcW w:w="605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-28 </w:t>
            </w:r>
          </w:p>
        </w:tc>
        <w:tc>
          <w:tcPr>
            <w:tcW w:w="707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223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Новый порт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-24,8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-24,1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-21,9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-13,7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-5,3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2,9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11,0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4,5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-4,9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-16,8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-21,9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-8,8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-56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15,1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-47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-46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-44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-43 </w:t>
            </w:r>
          </w:p>
        </w:tc>
        <w:tc>
          <w:tcPr>
            <w:tcW w:w="573" w:type="dxa"/>
            <w:gridSpan w:val="2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302 </w:t>
            </w:r>
          </w:p>
        </w:tc>
        <w:tc>
          <w:tcPr>
            <w:tcW w:w="499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-12,6 </w:t>
            </w:r>
          </w:p>
        </w:tc>
        <w:tc>
          <w:tcPr>
            <w:tcW w:w="533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324 </w:t>
            </w:r>
          </w:p>
        </w:tc>
        <w:tc>
          <w:tcPr>
            <w:tcW w:w="489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-11 </w:t>
            </w:r>
          </w:p>
        </w:tc>
        <w:tc>
          <w:tcPr>
            <w:tcW w:w="605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-32 </w:t>
            </w:r>
          </w:p>
        </w:tc>
        <w:tc>
          <w:tcPr>
            <w:tcW w:w="707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247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Няксимволь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-20,7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-17,3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-10,3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-0,6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5,4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12,7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15,8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13,4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7,1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-1,4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-11,8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</w:t>
            </w:r>
            <w:r>
              <w:rPr>
                <w:rFonts w:ascii="Times New Roman" w:hAnsi="Times New Roman"/>
              </w:rPr>
              <w:t xml:space="preserve">8,7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-2,2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-52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36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22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-49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-46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-48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-43 </w:t>
            </w:r>
          </w:p>
        </w:tc>
        <w:tc>
          <w:tcPr>
            <w:tcW w:w="573" w:type="dxa"/>
            <w:gridSpan w:val="2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258 </w:t>
            </w:r>
          </w:p>
        </w:tc>
        <w:tc>
          <w:tcPr>
            <w:tcW w:w="499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-8,1 </w:t>
            </w:r>
          </w:p>
        </w:tc>
        <w:tc>
          <w:tcPr>
            <w:tcW w:w="533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277 </w:t>
            </w:r>
          </w:p>
        </w:tc>
        <w:tc>
          <w:tcPr>
            <w:tcW w:w="489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-7 </w:t>
            </w:r>
          </w:p>
        </w:tc>
        <w:tc>
          <w:tcPr>
            <w:tcW w:w="605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-26 </w:t>
            </w:r>
          </w:p>
        </w:tc>
        <w:tc>
          <w:tcPr>
            <w:tcW w:w="707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Сеяха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-22,9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-24,7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-23,7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-15,9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-7,2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0,7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7,2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7,8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3,3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-5,4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-16,2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-21,0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-9,8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-56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28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11,3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-48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-46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-44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 </w:t>
            </w:r>
          </w:p>
        </w:tc>
        <w:tc>
          <w:tcPr>
            <w:tcW w:w="573" w:type="dxa"/>
            <w:gridSpan w:val="2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365 </w:t>
            </w:r>
          </w:p>
        </w:tc>
        <w:tc>
          <w:tcPr>
            <w:tcW w:w="499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-9,8 </w:t>
            </w:r>
          </w:p>
        </w:tc>
        <w:tc>
          <w:tcPr>
            <w:tcW w:w="533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365 </w:t>
            </w:r>
          </w:p>
        </w:tc>
        <w:tc>
          <w:tcPr>
            <w:tcW w:w="489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-9,8 </w:t>
            </w:r>
          </w:p>
        </w:tc>
        <w:tc>
          <w:tcPr>
            <w:tcW w:w="605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-31 </w:t>
            </w:r>
          </w:p>
        </w:tc>
        <w:tc>
          <w:tcPr>
            <w:tcW w:w="707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Тазовский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-26,7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-25,8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-25,5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-14,2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-5,5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5,2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13,4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10,7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4,2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-6,5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-19,4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-24,9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-9,3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-60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32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18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-51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-49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-47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-46 </w:t>
            </w:r>
          </w:p>
        </w:tc>
        <w:tc>
          <w:tcPr>
            <w:tcW w:w="573" w:type="dxa"/>
            <w:gridSpan w:val="2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299 </w:t>
            </w:r>
          </w:p>
        </w:tc>
        <w:tc>
          <w:tcPr>
            <w:tcW w:w="499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-13,9 </w:t>
            </w:r>
          </w:p>
        </w:tc>
        <w:tc>
          <w:tcPr>
            <w:tcW w:w="533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315 </w:t>
            </w:r>
          </w:p>
        </w:tc>
        <w:tc>
          <w:tcPr>
            <w:tcW w:w="489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-12 </w:t>
            </w:r>
          </w:p>
        </w:tc>
        <w:tc>
          <w:tcPr>
            <w:tcW w:w="605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-34 </w:t>
            </w:r>
          </w:p>
        </w:tc>
        <w:tc>
          <w:tcPr>
            <w:tcW w:w="707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243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Тамбей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-24,6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-25,8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-25,0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-15,9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-7,2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5,5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6,4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2,3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-5,8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-15,9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-21,7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-10,6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-55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9,8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-47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-45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-44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-42 </w:t>
            </w:r>
          </w:p>
        </w:tc>
        <w:tc>
          <w:tcPr>
            <w:tcW w:w="573" w:type="dxa"/>
            <w:gridSpan w:val="2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365 </w:t>
            </w:r>
          </w:p>
        </w:tc>
        <w:tc>
          <w:tcPr>
            <w:tcW w:w="499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-10,6 </w:t>
            </w:r>
          </w:p>
        </w:tc>
        <w:tc>
          <w:tcPr>
            <w:tcW w:w="533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365 </w:t>
            </w:r>
          </w:p>
        </w:tc>
        <w:tc>
          <w:tcPr>
            <w:tcW w:w="489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-10,6 </w:t>
            </w:r>
          </w:p>
        </w:tc>
        <w:tc>
          <w:tcPr>
            <w:tcW w:w="605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-32 </w:t>
            </w:r>
          </w:p>
        </w:tc>
        <w:tc>
          <w:tcPr>
            <w:tcW w:w="707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Толька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-25,2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-23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-16,2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-7,3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0,5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10,6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12,5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6,2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-4,4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-18,1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-25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-6,1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-63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37 </w:t>
            </w:r>
          </w:p>
        </w:tc>
        <w:tc>
          <w:tcPr>
            <w:tcW w:w="510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21,9 </w:t>
            </w:r>
          </w:p>
        </w:tc>
        <w:tc>
          <w:tcPr>
            <w:tcW w:w="510" w:type="dxa"/>
          </w:tcPr>
          <w:p w:rsidR="00000000" w:rsidRDefault="00E74F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510" w:type="dxa"/>
          </w:tcPr>
          <w:p w:rsidR="00000000" w:rsidRDefault="00E74F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510" w:type="dxa"/>
          </w:tcPr>
          <w:p w:rsidR="00000000" w:rsidRDefault="00E74F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510" w:type="dxa"/>
          </w:tcPr>
          <w:p w:rsidR="00000000" w:rsidRDefault="00E74FE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573" w:type="dxa"/>
            <w:gridSpan w:val="2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272 </w:t>
            </w:r>
          </w:p>
        </w:tc>
        <w:tc>
          <w:tcPr>
            <w:tcW w:w="499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-12,6 </w:t>
            </w:r>
          </w:p>
        </w:tc>
        <w:tc>
          <w:tcPr>
            <w:tcW w:w="533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289 </w:t>
            </w:r>
          </w:p>
        </w:tc>
        <w:tc>
          <w:tcPr>
            <w:tcW w:w="489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-10 </w:t>
            </w:r>
          </w:p>
        </w:tc>
        <w:tc>
          <w:tcPr>
            <w:tcW w:w="605" w:type="dxa"/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-31 </w:t>
            </w:r>
          </w:p>
        </w:tc>
        <w:tc>
          <w:tcPr>
            <w:tcW w:w="707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222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1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Яр-Сале</w:t>
            </w:r>
          </w:p>
        </w:tc>
        <w:tc>
          <w:tcPr>
            <w:tcW w:w="5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-24 </w:t>
            </w:r>
          </w:p>
        </w:tc>
        <w:tc>
          <w:tcPr>
            <w:tcW w:w="5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-23,2 </w:t>
            </w:r>
          </w:p>
        </w:tc>
        <w:tc>
          <w:tcPr>
            <w:tcW w:w="5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-20,4 </w:t>
            </w:r>
          </w:p>
        </w:tc>
        <w:tc>
          <w:tcPr>
            <w:tcW w:w="5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-11,6 </w:t>
            </w:r>
          </w:p>
        </w:tc>
        <w:tc>
          <w:tcPr>
            <w:tcW w:w="5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-3,5 </w:t>
            </w:r>
          </w:p>
        </w:tc>
        <w:tc>
          <w:tcPr>
            <w:tcW w:w="5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6,1 </w:t>
            </w:r>
          </w:p>
        </w:tc>
        <w:tc>
          <w:tcPr>
            <w:tcW w:w="5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13,2 </w:t>
            </w:r>
          </w:p>
        </w:tc>
        <w:tc>
          <w:tcPr>
            <w:tcW w:w="5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10,7 </w:t>
            </w:r>
          </w:p>
        </w:tc>
        <w:tc>
          <w:tcPr>
            <w:tcW w:w="5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 </w:t>
            </w:r>
          </w:p>
        </w:tc>
        <w:tc>
          <w:tcPr>
            <w:tcW w:w="5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-4,4 </w:t>
            </w:r>
          </w:p>
        </w:tc>
        <w:tc>
          <w:tcPr>
            <w:tcW w:w="5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-16,6 </w:t>
            </w:r>
          </w:p>
        </w:tc>
        <w:tc>
          <w:tcPr>
            <w:tcW w:w="5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-21,6 </w:t>
            </w:r>
          </w:p>
        </w:tc>
        <w:tc>
          <w:tcPr>
            <w:tcW w:w="5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-7,5 </w:t>
            </w:r>
          </w:p>
        </w:tc>
        <w:tc>
          <w:tcPr>
            <w:tcW w:w="5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-55 </w:t>
            </w:r>
          </w:p>
        </w:tc>
        <w:tc>
          <w:tcPr>
            <w:tcW w:w="5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 </w:t>
            </w:r>
          </w:p>
        </w:tc>
        <w:tc>
          <w:tcPr>
            <w:tcW w:w="5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17,7 </w:t>
            </w:r>
          </w:p>
        </w:tc>
        <w:tc>
          <w:tcPr>
            <w:tcW w:w="5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-48 </w:t>
            </w:r>
          </w:p>
        </w:tc>
        <w:tc>
          <w:tcPr>
            <w:tcW w:w="5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-46 </w:t>
            </w:r>
          </w:p>
        </w:tc>
        <w:tc>
          <w:tcPr>
            <w:tcW w:w="5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-44 </w:t>
            </w:r>
          </w:p>
        </w:tc>
        <w:tc>
          <w:tcPr>
            <w:tcW w:w="5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-42 </w:t>
            </w:r>
          </w:p>
        </w:tc>
        <w:tc>
          <w:tcPr>
            <w:tcW w:w="573" w:type="dxa"/>
            <w:gridSpan w:val="2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292 </w:t>
            </w:r>
          </w:p>
        </w:tc>
        <w:tc>
          <w:tcPr>
            <w:tcW w:w="499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-12,2 </w:t>
            </w:r>
          </w:p>
        </w:tc>
        <w:tc>
          <w:tcPr>
            <w:tcW w:w="533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310 </w:t>
            </w:r>
          </w:p>
        </w:tc>
        <w:tc>
          <w:tcPr>
            <w:tcW w:w="489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-10,6 </w:t>
            </w:r>
          </w:p>
        </w:tc>
        <w:tc>
          <w:tcPr>
            <w:tcW w:w="60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-30 </w:t>
            </w:r>
          </w:p>
        </w:tc>
        <w:tc>
          <w:tcPr>
            <w:tcW w:w="707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236 </w:t>
            </w:r>
          </w:p>
        </w:tc>
      </w:tr>
    </w:tbl>
    <w:p w:rsidR="00000000" w:rsidRDefault="00E74FE9">
      <w:pPr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both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1.2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Средняя и максимальная </w:t>
      </w:r>
      <w:r>
        <w:rPr>
          <w:rFonts w:ascii="Times New Roman" w:hAnsi="Times New Roman"/>
          <w:sz w:val="20"/>
        </w:rPr>
        <w:t>суточная амплитуда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температуры наружного воздуха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418"/>
        <w:gridCol w:w="601"/>
        <w:gridCol w:w="601"/>
        <w:gridCol w:w="601"/>
        <w:gridCol w:w="601"/>
        <w:gridCol w:w="573"/>
        <w:gridCol w:w="606"/>
        <w:gridCol w:w="606"/>
        <w:gridCol w:w="606"/>
        <w:gridCol w:w="591"/>
        <w:gridCol w:w="567"/>
        <w:gridCol w:w="576"/>
        <w:gridCol w:w="70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Пункт </w:t>
            </w:r>
          </w:p>
        </w:tc>
        <w:tc>
          <w:tcPr>
            <w:tcW w:w="7229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Амплитуда температуры </w:t>
            </w:r>
            <w:r>
              <w:rPr>
                <w:rFonts w:ascii="Times New Roman" w:hAnsi="Times New Roman"/>
                <w:position w:val="-22"/>
                <w:sz w:val="20"/>
              </w:rPr>
              <w:pict>
                <v:shape id="_x0000_i1186" type="#_x0000_t75" style="width:78pt;height:30.75pt">
                  <v:imagedata r:id="rId2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по месяцам, 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187" type="#_x0000_t75" style="width:9pt;height:17.25pt">
                  <v:imagedata r:id="rId2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С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II 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III 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IV </w:t>
            </w:r>
          </w:p>
        </w:tc>
        <w:tc>
          <w:tcPr>
            <w:tcW w:w="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 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 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VIII 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IX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X 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XI 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XII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Ларьяк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8,8 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3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6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6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6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1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Мужи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8,9 </w:t>
            </w: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10,1 </w:t>
            </w: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9,1 </w:t>
            </w:r>
          </w:p>
        </w:tc>
        <w:tc>
          <w:tcPr>
            <w:tcW w:w="5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7,8 </w:t>
            </w: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8,1 </w:t>
            </w: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8,7 </w:t>
            </w: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8,2 </w:t>
            </w:r>
          </w:p>
        </w:tc>
        <w:tc>
          <w:tcPr>
            <w:tcW w:w="59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6,9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6,2 </w:t>
            </w:r>
          </w:p>
        </w:tc>
        <w:tc>
          <w:tcPr>
            <w:tcW w:w="5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7,4 </w:t>
            </w:r>
          </w:p>
        </w:tc>
        <w:tc>
          <w:tcPr>
            <w:tcW w:w="701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Новый Порт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6,8 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  <w:r>
              <w:rPr>
                <w:rFonts w:ascii="Times New Roman" w:hAnsi="Times New Roman"/>
                <w:sz w:val="20"/>
              </w:rPr>
              <w:t>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Няксимволь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8,3 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Сеяха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9,3 </w:t>
            </w: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8,3 </w:t>
            </w: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9,5 </w:t>
            </w: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8,8 </w:t>
            </w:r>
          </w:p>
        </w:tc>
        <w:tc>
          <w:tcPr>
            <w:tcW w:w="5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6,1 </w:t>
            </w: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5,0 </w:t>
            </w: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7,1 </w:t>
            </w: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6,0 </w:t>
            </w:r>
          </w:p>
        </w:tc>
        <w:tc>
          <w:tcPr>
            <w:tcW w:w="59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4,9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4,0 </w:t>
            </w:r>
          </w:p>
        </w:tc>
        <w:tc>
          <w:tcPr>
            <w:tcW w:w="5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8,3 </w:t>
            </w:r>
          </w:p>
        </w:tc>
        <w:tc>
          <w:tcPr>
            <w:tcW w:w="701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Тазовский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Тамбей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1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Толька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9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9,8 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30,1 </w:t>
            </w:r>
          </w:p>
        </w:tc>
        <w:tc>
          <w:tcPr>
            <w:tcW w:w="701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Яр-Сале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01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9,3 </w:t>
            </w:r>
          </w:p>
        </w:tc>
        <w:tc>
          <w:tcPr>
            <w:tcW w:w="601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8,3 </w:t>
            </w:r>
          </w:p>
        </w:tc>
        <w:tc>
          <w:tcPr>
            <w:tcW w:w="601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9,5 </w:t>
            </w:r>
          </w:p>
        </w:tc>
        <w:tc>
          <w:tcPr>
            <w:tcW w:w="601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8,8 </w:t>
            </w:r>
          </w:p>
        </w:tc>
        <w:tc>
          <w:tcPr>
            <w:tcW w:w="573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6,1 </w:t>
            </w:r>
          </w:p>
        </w:tc>
        <w:tc>
          <w:tcPr>
            <w:tcW w:w="606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4,6 </w:t>
            </w:r>
          </w:p>
        </w:tc>
        <w:tc>
          <w:tcPr>
            <w:tcW w:w="606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7,3 </w:t>
            </w:r>
          </w:p>
        </w:tc>
        <w:tc>
          <w:tcPr>
            <w:tcW w:w="606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8,2 </w:t>
            </w:r>
          </w:p>
        </w:tc>
        <w:tc>
          <w:tcPr>
            <w:tcW w:w="591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4,4 </w:t>
            </w:r>
          </w:p>
        </w:tc>
        <w:tc>
          <w:tcPr>
            <w:tcW w:w="567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5,1 </w:t>
            </w:r>
          </w:p>
        </w:tc>
        <w:tc>
          <w:tcPr>
            <w:tcW w:w="576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7,7 </w:t>
            </w:r>
          </w:p>
        </w:tc>
        <w:tc>
          <w:tcPr>
            <w:tcW w:w="701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8,3 </w:t>
            </w:r>
          </w:p>
        </w:tc>
      </w:tr>
    </w:tbl>
    <w:p w:rsidR="00000000" w:rsidRDefault="00E74FE9">
      <w:pPr>
        <w:jc w:val="right"/>
        <w:rPr>
          <w:rFonts w:ascii="Times New Roman" w:hAnsi="Times New Roman"/>
          <w:sz w:val="20"/>
          <w:lang w:val="en-US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1.3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Влажность наружного воздуха, осадки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35"/>
        <w:gridCol w:w="465"/>
        <w:gridCol w:w="465"/>
        <w:gridCol w:w="465"/>
        <w:gridCol w:w="465"/>
        <w:gridCol w:w="465"/>
        <w:gridCol w:w="570"/>
        <w:gridCol w:w="570"/>
        <w:gridCol w:w="570"/>
        <w:gridCol w:w="465"/>
        <w:gridCol w:w="465"/>
        <w:gridCol w:w="465"/>
        <w:gridCol w:w="606"/>
        <w:gridCol w:w="1276"/>
        <w:gridCol w:w="1178"/>
        <w:gridCol w:w="647"/>
        <w:gridCol w:w="1861"/>
        <w:gridCol w:w="127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3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Пункт </w:t>
            </w:r>
          </w:p>
        </w:tc>
        <w:tc>
          <w:tcPr>
            <w:tcW w:w="603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Упругость водяного пара наружного воздуха по месяцам, гПА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54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Средняя месячная относительная влажность воздуха в 13 ч, %</w:t>
            </w:r>
          </w:p>
        </w:tc>
        <w:tc>
          <w:tcPr>
            <w:tcW w:w="3783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Количество осадков,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II 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III 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IV 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VII</w:t>
            </w: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IX 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X 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XI 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XII 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наиболее холод. мес.</w:t>
            </w:r>
          </w:p>
        </w:tc>
        <w:tc>
          <w:tcPr>
            <w:tcW w:w="1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наиболее жарк. мес.</w:t>
            </w:r>
          </w:p>
        </w:tc>
        <w:tc>
          <w:tcPr>
            <w:tcW w:w="64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за год </w:t>
            </w:r>
          </w:p>
        </w:tc>
        <w:tc>
          <w:tcPr>
            <w:tcW w:w="1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жидких и смешанных за год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суточный максимум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4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4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4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4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4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4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4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46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60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11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6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18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Ларьяк</w:t>
            </w:r>
          </w:p>
        </w:tc>
        <w:tc>
          <w:tcPr>
            <w:tcW w:w="46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1,2 </w:t>
            </w:r>
          </w:p>
        </w:tc>
        <w:tc>
          <w:tcPr>
            <w:tcW w:w="46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 </w:t>
            </w:r>
          </w:p>
        </w:tc>
        <w:tc>
          <w:tcPr>
            <w:tcW w:w="46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46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46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57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10,5 </w:t>
            </w:r>
          </w:p>
        </w:tc>
        <w:tc>
          <w:tcPr>
            <w:tcW w:w="57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13,9 </w:t>
            </w:r>
          </w:p>
        </w:tc>
        <w:tc>
          <w:tcPr>
            <w:tcW w:w="57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12,7 </w:t>
            </w:r>
          </w:p>
        </w:tc>
        <w:tc>
          <w:tcPr>
            <w:tcW w:w="46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8,7 </w:t>
            </w:r>
          </w:p>
        </w:tc>
        <w:tc>
          <w:tcPr>
            <w:tcW w:w="46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4,9 </w:t>
            </w:r>
          </w:p>
        </w:tc>
        <w:tc>
          <w:tcPr>
            <w:tcW w:w="46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 </w:t>
            </w:r>
          </w:p>
        </w:tc>
        <w:tc>
          <w:tcPr>
            <w:tcW w:w="606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1,4 </w:t>
            </w:r>
          </w:p>
        </w:tc>
        <w:tc>
          <w:tcPr>
            <w:tcW w:w="1276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 </w:t>
            </w:r>
          </w:p>
        </w:tc>
        <w:tc>
          <w:tcPr>
            <w:tcW w:w="1178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 </w:t>
            </w:r>
          </w:p>
        </w:tc>
        <w:tc>
          <w:tcPr>
            <w:tcW w:w="647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604 </w:t>
            </w:r>
          </w:p>
        </w:tc>
        <w:tc>
          <w:tcPr>
            <w:tcW w:w="1861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447 </w:t>
            </w:r>
          </w:p>
        </w:tc>
        <w:tc>
          <w:tcPr>
            <w:tcW w:w="127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Мужи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1,2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1,6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3,5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5,1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9,0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12,4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11,6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7,9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4,5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2,3 </w:t>
            </w: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7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564 </w:t>
            </w:r>
          </w:p>
        </w:tc>
        <w:tc>
          <w:tcPr>
            <w:tcW w:w="186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7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Новый Порт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1,2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2,7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7,1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11,2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10,8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7,8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4,3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1,4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83 </w:t>
            </w:r>
          </w:p>
        </w:tc>
        <w:tc>
          <w:tcPr>
            <w:tcW w:w="117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74 </w:t>
            </w:r>
          </w:p>
        </w:tc>
        <w:tc>
          <w:tcPr>
            <w:tcW w:w="64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86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7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Наксимволь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1,4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1,4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</w:rPr>
              <w:t xml:space="preserve">,1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4,3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6,2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12,8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12,0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8,3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4,9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2,6 </w:t>
            </w: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1,6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7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 </w:t>
            </w:r>
          </w:p>
        </w:tc>
        <w:tc>
          <w:tcPr>
            <w:tcW w:w="64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541 </w:t>
            </w:r>
          </w:p>
        </w:tc>
        <w:tc>
          <w:tcPr>
            <w:tcW w:w="186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373 </w:t>
            </w:r>
          </w:p>
        </w:tc>
        <w:tc>
          <w:tcPr>
            <w:tcW w:w="127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Сеяха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1,1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2,3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3,8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6,3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8,9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9,5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7,2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4,1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2,0 </w:t>
            </w: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84 </w:t>
            </w:r>
          </w:p>
        </w:tc>
        <w:tc>
          <w:tcPr>
            <w:tcW w:w="117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81 </w:t>
            </w:r>
          </w:p>
        </w:tc>
        <w:tc>
          <w:tcPr>
            <w:tcW w:w="64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86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7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Тазовский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1,1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4,1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7,8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11,8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10,6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7,6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4,0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1,6 </w:t>
            </w: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1,1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 </w:t>
            </w:r>
          </w:p>
        </w:tc>
        <w:tc>
          <w:tcPr>
            <w:tcW w:w="117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62 </w:t>
            </w:r>
          </w:p>
        </w:tc>
        <w:tc>
          <w:tcPr>
            <w:tcW w:w="64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86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7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Тамбей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1,1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3,6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8,1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8,7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6,8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4,0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 </w:t>
            </w: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1,6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87 </w:t>
            </w:r>
          </w:p>
        </w:tc>
        <w:tc>
          <w:tcPr>
            <w:tcW w:w="117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81 </w:t>
            </w:r>
          </w:p>
        </w:tc>
        <w:tc>
          <w:tcPr>
            <w:tcW w:w="64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86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7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Толька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1,1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3,2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4,7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8,8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12,5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11,4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8,2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4,3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1,8 </w:t>
            </w:r>
          </w:p>
        </w:tc>
        <w:tc>
          <w:tcPr>
            <w:tcW w:w="60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1,2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7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570 </w:t>
            </w:r>
          </w:p>
        </w:tc>
        <w:tc>
          <w:tcPr>
            <w:tcW w:w="186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388 </w:t>
            </w:r>
          </w:p>
        </w:tc>
        <w:tc>
          <w:tcPr>
            <w:tcW w:w="127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3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Яр-Сале </w:t>
            </w:r>
          </w:p>
        </w:tc>
        <w:tc>
          <w:tcPr>
            <w:tcW w:w="46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6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  <w:tc>
          <w:tcPr>
            <w:tcW w:w="46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 </w:t>
            </w:r>
          </w:p>
        </w:tc>
        <w:tc>
          <w:tcPr>
            <w:tcW w:w="46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2,9 </w:t>
            </w:r>
          </w:p>
        </w:tc>
        <w:tc>
          <w:tcPr>
            <w:tcW w:w="46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4,4 </w:t>
            </w:r>
          </w:p>
        </w:tc>
        <w:tc>
          <w:tcPr>
            <w:tcW w:w="57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57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11,6 </w:t>
            </w:r>
          </w:p>
        </w:tc>
        <w:tc>
          <w:tcPr>
            <w:tcW w:w="57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11,0 </w:t>
            </w:r>
          </w:p>
        </w:tc>
        <w:tc>
          <w:tcPr>
            <w:tcW w:w="46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7,9 </w:t>
            </w:r>
          </w:p>
        </w:tc>
        <w:tc>
          <w:tcPr>
            <w:tcW w:w="46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4,4 </w:t>
            </w:r>
          </w:p>
        </w:tc>
        <w:tc>
          <w:tcPr>
            <w:tcW w:w="46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606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1,4 </w:t>
            </w:r>
          </w:p>
        </w:tc>
        <w:tc>
          <w:tcPr>
            <w:tcW w:w="1276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78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47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861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7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1.4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Повторяемость направлений ветра и штилей (числитель), %,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средняя скорость ветра по направлениям (знаменатель), м/с,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максимальная и минимальная скорость ветра, м/с 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5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55"/>
        <w:gridCol w:w="690"/>
        <w:gridCol w:w="630"/>
        <w:gridCol w:w="630"/>
        <w:gridCol w:w="630"/>
        <w:gridCol w:w="630"/>
        <w:gridCol w:w="630"/>
        <w:gridCol w:w="630"/>
        <w:gridCol w:w="754"/>
        <w:gridCol w:w="821"/>
        <w:gridCol w:w="977"/>
        <w:gridCol w:w="754"/>
        <w:gridCol w:w="708"/>
        <w:gridCol w:w="709"/>
        <w:gridCol w:w="567"/>
        <w:gridCol w:w="567"/>
        <w:gridCol w:w="478"/>
        <w:gridCol w:w="528"/>
        <w:gridCol w:w="528"/>
        <w:gridCol w:w="760"/>
        <w:gridCol w:w="90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Пункт </w:t>
            </w:r>
          </w:p>
        </w:tc>
        <w:tc>
          <w:tcPr>
            <w:tcW w:w="604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Январь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7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Максим. из средн. скор. по румбам </w:t>
            </w:r>
          </w:p>
        </w:tc>
        <w:tc>
          <w:tcPr>
            <w:tcW w:w="559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Июль </w:t>
            </w:r>
          </w:p>
        </w:tc>
        <w:tc>
          <w:tcPr>
            <w:tcW w:w="901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Миним. из средн. скор. по румбам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СВ 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ЮВ 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Ю 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ЮЗ 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 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СЗ 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Штиль </w:t>
            </w:r>
          </w:p>
        </w:tc>
        <w:tc>
          <w:tcPr>
            <w:tcW w:w="97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за январь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СВ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ЮВ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Ю 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ЮЗ 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 </w:t>
            </w:r>
          </w:p>
        </w:tc>
        <w:tc>
          <w:tcPr>
            <w:tcW w:w="5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СЗ 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Штиль </w:t>
            </w:r>
          </w:p>
        </w:tc>
        <w:tc>
          <w:tcPr>
            <w:tcW w:w="901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за июль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Мужи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4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1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977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5,8 </w:t>
            </w:r>
          </w:p>
        </w:tc>
        <w:tc>
          <w:tcPr>
            <w:tcW w:w="754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78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8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8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1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Надым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4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97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4,5 </w:t>
            </w:r>
          </w:p>
        </w:tc>
        <w:tc>
          <w:tcPr>
            <w:tcW w:w="754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7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901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Сосьва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4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 </w:t>
            </w:r>
          </w:p>
        </w:tc>
        <w:tc>
          <w:tcPr>
            <w:tcW w:w="97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4,3 </w:t>
            </w:r>
          </w:p>
        </w:tc>
        <w:tc>
          <w:tcPr>
            <w:tcW w:w="754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7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2,9 </w:t>
            </w:r>
          </w:p>
        </w:tc>
        <w:tc>
          <w:tcPr>
            <w:tcW w:w="75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901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Тазовский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5,0 </w:t>
            </w: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4,5 </w:t>
            </w: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4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97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9,7 </w:t>
            </w:r>
          </w:p>
        </w:tc>
        <w:tc>
          <w:tcPr>
            <w:tcW w:w="754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7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901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5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Яр-Сале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9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4,3 </w:t>
            </w:r>
          </w:p>
        </w:tc>
        <w:tc>
          <w:tcPr>
            <w:tcW w:w="63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5,5 </w:t>
            </w:r>
          </w:p>
        </w:tc>
        <w:tc>
          <w:tcPr>
            <w:tcW w:w="63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4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1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977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6,0 </w:t>
            </w:r>
          </w:p>
        </w:tc>
        <w:tc>
          <w:tcPr>
            <w:tcW w:w="754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8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3,9 </w:t>
            </w:r>
          </w:p>
        </w:tc>
        <w:tc>
          <w:tcPr>
            <w:tcW w:w="567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3,9 </w:t>
            </w:r>
          </w:p>
        </w:tc>
        <w:tc>
          <w:tcPr>
            <w:tcW w:w="567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3,7 </w:t>
            </w:r>
          </w:p>
        </w:tc>
        <w:tc>
          <w:tcPr>
            <w:tcW w:w="478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4,0 </w:t>
            </w:r>
          </w:p>
        </w:tc>
        <w:tc>
          <w:tcPr>
            <w:tcW w:w="528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5,4 </w:t>
            </w:r>
          </w:p>
        </w:tc>
        <w:tc>
          <w:tcPr>
            <w:tcW w:w="528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5,8 </w:t>
            </w:r>
          </w:p>
        </w:tc>
        <w:tc>
          <w:tcPr>
            <w:tcW w:w="757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1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5,8 </w:t>
            </w:r>
          </w:p>
        </w:tc>
      </w:tr>
    </w:tbl>
    <w:p w:rsidR="00000000" w:rsidRDefault="00E74FE9">
      <w:pPr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1.5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Средняя продолжительность температуры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воздуха различных градаций, ч/год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95"/>
        <w:gridCol w:w="1035"/>
        <w:gridCol w:w="831"/>
        <w:gridCol w:w="1256"/>
        <w:gridCol w:w="870"/>
        <w:gridCol w:w="1276"/>
        <w:gridCol w:w="184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Температура воздуха, 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188" type="#_x0000_t75" style="width:9pt;height:17.25pt">
                  <v:imagedata r:id="rId2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С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Березово 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Леуши 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Няксимволь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Сургут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Ханты-Ма</w:t>
            </w:r>
            <w:r>
              <w:rPr>
                <w:rFonts w:ascii="Times New Roman" w:hAnsi="Times New Roman"/>
                <w:sz w:val="20"/>
              </w:rPr>
              <w:t xml:space="preserve">нсийск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Александровское (Томская обл.)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125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1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-50...-48,1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31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56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70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76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42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-48...-46,1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31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-46...-44,1 </w:t>
            </w: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-44...-42,1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-42...-40,1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-40...-38,1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-38...-36,1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-36...-34,1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79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71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88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-34...-32,1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105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96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105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-32...-30,1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131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123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105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88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-30...-2</w:t>
            </w:r>
            <w:r>
              <w:rPr>
                <w:rFonts w:ascii="Times New Roman" w:hAnsi="Times New Roman"/>
                <w:sz w:val="20"/>
              </w:rPr>
              <w:t>8,1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131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88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131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131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114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-28...-26,1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166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96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149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149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130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-26...-24,1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184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114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149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184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158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-24...-22,1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210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131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167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184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184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-22...-20,1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238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184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185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210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184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-20...-18,1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263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228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194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237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219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-18...-16,1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298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245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211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272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272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-16...-14,1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298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272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246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289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307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-14...- 12,1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316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307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273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307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315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-12...-10,1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342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316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281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333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324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-10...-8,1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333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316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308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324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316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-8...-6,1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333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359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317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333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342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-6...-4,1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351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342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368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342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342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-4...-2,1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377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403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447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333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386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-2...-0,1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447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456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508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394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429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0...1,9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491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508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535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526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508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2...3,9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429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447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491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421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412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4...5,9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403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394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438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342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386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6...7,9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403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402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438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368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377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8...9,9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412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438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438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386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402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10...11,9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421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482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421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429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456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12...13,9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377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447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394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403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421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14...15,9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324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403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351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394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386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16...17,9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254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351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254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298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316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18...19,9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201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272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210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245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245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20...21,9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123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193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140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184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175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22...23,9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79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149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105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131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140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24...25,9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105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79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79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26...27,9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 </w:t>
            </w:r>
          </w:p>
        </w:tc>
        <w:tc>
          <w:tcPr>
            <w:tcW w:w="83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 </w:t>
            </w:r>
          </w:p>
        </w:tc>
        <w:tc>
          <w:tcPr>
            <w:tcW w:w="12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 </w:t>
            </w:r>
          </w:p>
        </w:tc>
        <w:tc>
          <w:tcPr>
            <w:tcW w:w="8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 </w:t>
            </w: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 </w:t>
            </w:r>
          </w:p>
        </w:tc>
        <w:tc>
          <w:tcPr>
            <w:tcW w:w="1842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9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28...29,9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31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1256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870" w:type="dxa"/>
            <w:tcBorders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76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1842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</w:tr>
    </w:tbl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1.6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Повторяемость направлений ветра и штилей, %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855"/>
        <w:gridCol w:w="855"/>
        <w:gridCol w:w="855"/>
        <w:gridCol w:w="855"/>
        <w:gridCol w:w="855"/>
        <w:gridCol w:w="855"/>
        <w:gridCol w:w="855"/>
        <w:gridCol w:w="855"/>
        <w:gridCol w:w="673"/>
        <w:gridCol w:w="94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Месяц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СВ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ЮВ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Ю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ЮЗ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 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СЗ 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Штиль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Александровское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Березово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Кондинское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Ларьяк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Леуши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Марресале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Мужи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Надым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Новый Порт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Няксимволь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Октябрьское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Парабель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Салехард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Сеяха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Сосьва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Средний Васюган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Сургут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Тазовский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Тамбей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Тарко-Сале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Толька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Угут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Уренгой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Ханты-Мансийск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46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Яр-Сале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67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94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85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85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85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673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947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1.7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Средняя месячная и годовая скорость ветра, м/с </w:t>
      </w:r>
    </w:p>
    <w:p w:rsidR="00000000" w:rsidRDefault="00E74F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701"/>
        <w:gridCol w:w="481"/>
        <w:gridCol w:w="481"/>
        <w:gridCol w:w="481"/>
        <w:gridCol w:w="481"/>
        <w:gridCol w:w="481"/>
        <w:gridCol w:w="481"/>
        <w:gridCol w:w="553"/>
        <w:gridCol w:w="586"/>
        <w:gridCol w:w="586"/>
        <w:gridCol w:w="492"/>
        <w:gridCol w:w="467"/>
        <w:gridCol w:w="496"/>
        <w:gridCol w:w="59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Пункт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II </w:t>
            </w: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III </w:t>
            </w: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IV </w:t>
            </w: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 </w:t>
            </w:r>
          </w:p>
        </w:tc>
        <w:tc>
          <w:tcPr>
            <w:tcW w:w="4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 </w:t>
            </w:r>
          </w:p>
        </w:tc>
        <w:tc>
          <w:tcPr>
            <w:tcW w:w="5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VIII 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IX 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X 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XI </w:t>
            </w:r>
          </w:p>
        </w:tc>
        <w:tc>
          <w:tcPr>
            <w:tcW w:w="4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XII 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Александровское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3,5 </w:t>
            </w:r>
          </w:p>
        </w:tc>
        <w:tc>
          <w:tcPr>
            <w:tcW w:w="481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4,0 </w:t>
            </w:r>
          </w:p>
        </w:tc>
        <w:tc>
          <w:tcPr>
            <w:tcW w:w="481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4,0 </w:t>
            </w:r>
          </w:p>
        </w:tc>
        <w:tc>
          <w:tcPr>
            <w:tcW w:w="481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4,4 </w:t>
            </w:r>
          </w:p>
        </w:tc>
        <w:tc>
          <w:tcPr>
            <w:tcW w:w="481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4,2 </w:t>
            </w:r>
          </w:p>
        </w:tc>
        <w:tc>
          <w:tcPr>
            <w:tcW w:w="553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3,2 </w:t>
            </w:r>
          </w:p>
        </w:tc>
        <w:tc>
          <w:tcPr>
            <w:tcW w:w="586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3,1 </w:t>
            </w:r>
          </w:p>
        </w:tc>
        <w:tc>
          <w:tcPr>
            <w:tcW w:w="586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3,4 </w:t>
            </w:r>
          </w:p>
        </w:tc>
        <w:tc>
          <w:tcPr>
            <w:tcW w:w="492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4,1 </w:t>
            </w:r>
          </w:p>
        </w:tc>
        <w:tc>
          <w:tcPr>
            <w:tcW w:w="467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3,9 </w:t>
            </w:r>
          </w:p>
        </w:tc>
        <w:tc>
          <w:tcPr>
            <w:tcW w:w="496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3,8 </w:t>
            </w:r>
          </w:p>
        </w:tc>
        <w:tc>
          <w:tcPr>
            <w:tcW w:w="596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Березово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3,1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3,4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3,6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4,6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4,6 </w:t>
            </w:r>
          </w:p>
        </w:tc>
        <w:tc>
          <w:tcPr>
            <w:tcW w:w="55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4,2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3,7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3,8 </w:t>
            </w:r>
          </w:p>
        </w:tc>
        <w:tc>
          <w:tcPr>
            <w:tcW w:w="4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4,0 </w:t>
            </w:r>
          </w:p>
        </w:tc>
        <w:tc>
          <w:tcPr>
            <w:tcW w:w="4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3,4 </w:t>
            </w:r>
          </w:p>
        </w:tc>
        <w:tc>
          <w:tcPr>
            <w:tcW w:w="4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2,9 </w:t>
            </w:r>
          </w:p>
        </w:tc>
        <w:tc>
          <w:tcPr>
            <w:tcW w:w="59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Кондинское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3,5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3,4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3,9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3,5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4,2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4,2 </w:t>
            </w:r>
          </w:p>
        </w:tc>
        <w:tc>
          <w:tcPr>
            <w:tcW w:w="55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3,3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3,6 </w:t>
            </w:r>
          </w:p>
        </w:tc>
        <w:tc>
          <w:tcPr>
            <w:tcW w:w="4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4,2 </w:t>
            </w:r>
          </w:p>
        </w:tc>
        <w:tc>
          <w:tcPr>
            <w:tcW w:w="4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3,8 </w:t>
            </w:r>
          </w:p>
        </w:tc>
        <w:tc>
          <w:tcPr>
            <w:tcW w:w="4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3,5 </w:t>
            </w:r>
          </w:p>
        </w:tc>
        <w:tc>
          <w:tcPr>
            <w:tcW w:w="59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Ларьяк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3,4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3,4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4,0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4,0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4,3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3,9 </w:t>
            </w:r>
          </w:p>
        </w:tc>
        <w:tc>
          <w:tcPr>
            <w:tcW w:w="55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3,3 </w:t>
            </w:r>
          </w:p>
        </w:tc>
        <w:tc>
          <w:tcPr>
            <w:tcW w:w="4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4,2 </w:t>
            </w:r>
          </w:p>
        </w:tc>
        <w:tc>
          <w:tcPr>
            <w:tcW w:w="4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3,7 </w:t>
            </w:r>
          </w:p>
        </w:tc>
        <w:tc>
          <w:tcPr>
            <w:tcW w:w="4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3,5 </w:t>
            </w:r>
          </w:p>
        </w:tc>
        <w:tc>
          <w:tcPr>
            <w:tcW w:w="59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Леуши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4,2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4,5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4,8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4,8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4,9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4,5 </w:t>
            </w:r>
          </w:p>
        </w:tc>
        <w:tc>
          <w:tcPr>
            <w:tcW w:w="55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3,8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3,6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4,2 </w:t>
            </w:r>
          </w:p>
        </w:tc>
        <w:tc>
          <w:tcPr>
            <w:tcW w:w="4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4,9 </w:t>
            </w:r>
          </w:p>
        </w:tc>
        <w:tc>
          <w:tcPr>
            <w:tcW w:w="4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4,7 </w:t>
            </w:r>
          </w:p>
        </w:tc>
        <w:tc>
          <w:tcPr>
            <w:tcW w:w="4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4,4 </w:t>
            </w:r>
          </w:p>
        </w:tc>
        <w:tc>
          <w:tcPr>
            <w:tcW w:w="59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Марресале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7,4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7,3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7,0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6,9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6,9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6,3 </w:t>
            </w:r>
          </w:p>
        </w:tc>
        <w:tc>
          <w:tcPr>
            <w:tcW w:w="55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5,8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6,0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6,8 </w:t>
            </w:r>
          </w:p>
        </w:tc>
        <w:tc>
          <w:tcPr>
            <w:tcW w:w="4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7,9 </w:t>
            </w:r>
          </w:p>
        </w:tc>
        <w:tc>
          <w:tcPr>
            <w:tcW w:w="4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7,9 </w:t>
            </w:r>
          </w:p>
        </w:tc>
        <w:tc>
          <w:tcPr>
            <w:tcW w:w="4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7,6 </w:t>
            </w:r>
          </w:p>
        </w:tc>
        <w:tc>
          <w:tcPr>
            <w:tcW w:w="59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Мужи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3,5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3,5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4,2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4,3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5,0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4,9 </w:t>
            </w:r>
          </w:p>
        </w:tc>
        <w:tc>
          <w:tcPr>
            <w:tcW w:w="55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4,4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4,2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4,3 </w:t>
            </w:r>
          </w:p>
        </w:tc>
        <w:tc>
          <w:tcPr>
            <w:tcW w:w="4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4,6 </w:t>
            </w:r>
          </w:p>
        </w:tc>
        <w:tc>
          <w:tcPr>
            <w:tcW w:w="4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3,9 </w:t>
            </w:r>
          </w:p>
        </w:tc>
        <w:tc>
          <w:tcPr>
            <w:tcW w:w="4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3,4 </w:t>
            </w:r>
          </w:p>
        </w:tc>
        <w:tc>
          <w:tcPr>
            <w:tcW w:w="59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Надым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2,7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3,1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3,2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3,4 </w:t>
            </w:r>
          </w:p>
        </w:tc>
        <w:tc>
          <w:tcPr>
            <w:tcW w:w="55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2,6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3,1 </w:t>
            </w:r>
          </w:p>
        </w:tc>
        <w:tc>
          <w:tcPr>
            <w:tcW w:w="4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2,9 </w:t>
            </w:r>
          </w:p>
        </w:tc>
        <w:tc>
          <w:tcPr>
            <w:tcW w:w="4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2,6 </w:t>
            </w:r>
          </w:p>
        </w:tc>
        <w:tc>
          <w:tcPr>
            <w:tcW w:w="4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 </w:t>
            </w:r>
          </w:p>
        </w:tc>
        <w:tc>
          <w:tcPr>
            <w:tcW w:w="59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Новый Порт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6,4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6,1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6,6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6,1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6,2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6,0 </w:t>
            </w:r>
          </w:p>
        </w:tc>
        <w:tc>
          <w:tcPr>
            <w:tcW w:w="55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5,6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5,8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5,8 </w:t>
            </w:r>
          </w:p>
        </w:tc>
        <w:tc>
          <w:tcPr>
            <w:tcW w:w="4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6,6 </w:t>
            </w:r>
          </w:p>
        </w:tc>
        <w:tc>
          <w:tcPr>
            <w:tcW w:w="4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6,4 </w:t>
            </w:r>
          </w:p>
        </w:tc>
        <w:tc>
          <w:tcPr>
            <w:tcW w:w="4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6,6 </w:t>
            </w:r>
          </w:p>
        </w:tc>
        <w:tc>
          <w:tcPr>
            <w:tcW w:w="59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Няксимволь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2,0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2,0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2,6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2,9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55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2,0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 </w:t>
            </w:r>
          </w:p>
        </w:tc>
        <w:tc>
          <w:tcPr>
            <w:tcW w:w="4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2,6 </w:t>
            </w:r>
          </w:p>
        </w:tc>
        <w:tc>
          <w:tcPr>
            <w:tcW w:w="4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 </w:t>
            </w:r>
          </w:p>
        </w:tc>
        <w:tc>
          <w:tcPr>
            <w:tcW w:w="4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1,8 </w:t>
            </w:r>
          </w:p>
        </w:tc>
        <w:tc>
          <w:tcPr>
            <w:tcW w:w="59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Октябрьское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3,3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3,4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3,8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3,8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4,2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3,9 </w:t>
            </w:r>
          </w:p>
        </w:tc>
        <w:tc>
          <w:tcPr>
            <w:tcW w:w="55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3,7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3,3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3,9 </w:t>
            </w:r>
          </w:p>
        </w:tc>
        <w:tc>
          <w:tcPr>
            <w:tcW w:w="4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4,2 </w:t>
            </w:r>
          </w:p>
        </w:tc>
        <w:tc>
          <w:tcPr>
            <w:tcW w:w="4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3,5 </w:t>
            </w:r>
          </w:p>
        </w:tc>
        <w:tc>
          <w:tcPr>
            <w:tcW w:w="4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3,1 </w:t>
            </w:r>
          </w:p>
        </w:tc>
        <w:tc>
          <w:tcPr>
            <w:tcW w:w="59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Парабель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3,6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3,8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4,3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4,4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4,7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4,0 </w:t>
            </w:r>
          </w:p>
        </w:tc>
        <w:tc>
          <w:tcPr>
            <w:tcW w:w="55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2,9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3,6 </w:t>
            </w:r>
          </w:p>
        </w:tc>
        <w:tc>
          <w:tcPr>
            <w:tcW w:w="4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4,3 </w:t>
            </w:r>
          </w:p>
        </w:tc>
        <w:tc>
          <w:tcPr>
            <w:tcW w:w="4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4,0 </w:t>
            </w:r>
          </w:p>
        </w:tc>
        <w:tc>
          <w:tcPr>
            <w:tcW w:w="4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3,9 </w:t>
            </w:r>
          </w:p>
        </w:tc>
        <w:tc>
          <w:tcPr>
            <w:tcW w:w="59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Салехард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3,9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3,6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4,3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4,4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5,1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5,2 </w:t>
            </w:r>
          </w:p>
        </w:tc>
        <w:tc>
          <w:tcPr>
            <w:tcW w:w="55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4,8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4,6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4,6 </w:t>
            </w:r>
          </w:p>
        </w:tc>
        <w:tc>
          <w:tcPr>
            <w:tcW w:w="4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5,1 </w:t>
            </w:r>
          </w:p>
        </w:tc>
        <w:tc>
          <w:tcPr>
            <w:tcW w:w="4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4,1 </w:t>
            </w:r>
          </w:p>
        </w:tc>
        <w:tc>
          <w:tcPr>
            <w:tcW w:w="4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3,7 </w:t>
            </w:r>
          </w:p>
        </w:tc>
        <w:tc>
          <w:tcPr>
            <w:tcW w:w="59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Сеяха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8,5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8,2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7,8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7,3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7,2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6,8 </w:t>
            </w:r>
          </w:p>
        </w:tc>
        <w:tc>
          <w:tcPr>
            <w:tcW w:w="55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5,9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6,3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6,9 </w:t>
            </w:r>
          </w:p>
        </w:tc>
        <w:tc>
          <w:tcPr>
            <w:tcW w:w="4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7,8 </w:t>
            </w:r>
          </w:p>
        </w:tc>
        <w:tc>
          <w:tcPr>
            <w:tcW w:w="4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7,6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4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8,3 </w:t>
            </w:r>
          </w:p>
        </w:tc>
        <w:tc>
          <w:tcPr>
            <w:tcW w:w="59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Сосьва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2,0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2,7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3,1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2,9 </w:t>
            </w:r>
          </w:p>
        </w:tc>
        <w:tc>
          <w:tcPr>
            <w:tcW w:w="55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 </w:t>
            </w:r>
          </w:p>
        </w:tc>
        <w:tc>
          <w:tcPr>
            <w:tcW w:w="4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2,3 </w:t>
            </w:r>
          </w:p>
        </w:tc>
        <w:tc>
          <w:tcPr>
            <w:tcW w:w="4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1,8 </w:t>
            </w:r>
          </w:p>
        </w:tc>
        <w:tc>
          <w:tcPr>
            <w:tcW w:w="59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Средний Васюган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3,2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3,7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3,8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4,1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3,6 </w:t>
            </w:r>
          </w:p>
        </w:tc>
        <w:tc>
          <w:tcPr>
            <w:tcW w:w="55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2,7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3,2 </w:t>
            </w:r>
          </w:p>
        </w:tc>
        <w:tc>
          <w:tcPr>
            <w:tcW w:w="4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3,7 </w:t>
            </w:r>
          </w:p>
        </w:tc>
        <w:tc>
          <w:tcPr>
            <w:tcW w:w="4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3,5 </w:t>
            </w:r>
          </w:p>
        </w:tc>
        <w:tc>
          <w:tcPr>
            <w:tcW w:w="4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3,2 </w:t>
            </w:r>
          </w:p>
        </w:tc>
        <w:tc>
          <w:tcPr>
            <w:tcW w:w="59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Сургут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4,9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4,2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4,8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4,8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5,5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5,3 </w:t>
            </w:r>
          </w:p>
        </w:tc>
        <w:tc>
          <w:tcPr>
            <w:tcW w:w="55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4,5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4,2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4,9 </w:t>
            </w:r>
          </w:p>
        </w:tc>
        <w:tc>
          <w:tcPr>
            <w:tcW w:w="4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5,9 </w:t>
            </w:r>
          </w:p>
        </w:tc>
        <w:tc>
          <w:tcPr>
            <w:tcW w:w="4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5,1 </w:t>
            </w:r>
          </w:p>
        </w:tc>
        <w:tc>
          <w:tcPr>
            <w:tcW w:w="4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4,7 </w:t>
            </w:r>
          </w:p>
        </w:tc>
        <w:tc>
          <w:tcPr>
            <w:tcW w:w="59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Тазовский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6,9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6,1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7,0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6,6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6,6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6,2 </w:t>
            </w:r>
          </w:p>
        </w:tc>
        <w:tc>
          <w:tcPr>
            <w:tcW w:w="55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5,3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5,4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5,3 </w:t>
            </w:r>
          </w:p>
        </w:tc>
        <w:tc>
          <w:tcPr>
            <w:tcW w:w="4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6,4 </w:t>
            </w:r>
          </w:p>
        </w:tc>
        <w:tc>
          <w:tcPr>
            <w:tcW w:w="4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6,2 </w:t>
            </w:r>
          </w:p>
        </w:tc>
        <w:tc>
          <w:tcPr>
            <w:tcW w:w="4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6,8 </w:t>
            </w:r>
          </w:p>
        </w:tc>
        <w:tc>
          <w:tcPr>
            <w:tcW w:w="59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Тамбей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7,1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6,1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6,4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6,6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6,8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6,2 </w:t>
            </w:r>
          </w:p>
        </w:tc>
        <w:tc>
          <w:tcPr>
            <w:tcW w:w="55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6,0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6,3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6,3 </w:t>
            </w:r>
          </w:p>
        </w:tc>
        <w:tc>
          <w:tcPr>
            <w:tcW w:w="4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7,1 </w:t>
            </w:r>
          </w:p>
        </w:tc>
        <w:tc>
          <w:tcPr>
            <w:tcW w:w="4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7,5 </w:t>
            </w:r>
          </w:p>
        </w:tc>
        <w:tc>
          <w:tcPr>
            <w:tcW w:w="4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6,9 </w:t>
            </w:r>
          </w:p>
        </w:tc>
        <w:tc>
          <w:tcPr>
            <w:tcW w:w="59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Тарко-Сале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3,4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3,4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3,8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4,1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4,3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>
              <w:rPr>
                <w:rFonts w:ascii="Times New Roman" w:hAnsi="Times New Roman"/>
                <w:sz w:val="20"/>
              </w:rPr>
              <w:t xml:space="preserve">,3 </w:t>
            </w:r>
          </w:p>
        </w:tc>
        <w:tc>
          <w:tcPr>
            <w:tcW w:w="55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3,5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3,3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3,4 </w:t>
            </w:r>
          </w:p>
        </w:tc>
        <w:tc>
          <w:tcPr>
            <w:tcW w:w="4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4,0 </w:t>
            </w:r>
          </w:p>
        </w:tc>
        <w:tc>
          <w:tcPr>
            <w:tcW w:w="4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3,4 </w:t>
            </w:r>
          </w:p>
        </w:tc>
        <w:tc>
          <w:tcPr>
            <w:tcW w:w="4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3,2 </w:t>
            </w:r>
          </w:p>
        </w:tc>
        <w:tc>
          <w:tcPr>
            <w:tcW w:w="59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Толька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2,7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3,1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2,9 </w:t>
            </w:r>
          </w:p>
        </w:tc>
        <w:tc>
          <w:tcPr>
            <w:tcW w:w="55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</w:p>
        </w:tc>
        <w:tc>
          <w:tcPr>
            <w:tcW w:w="4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 </w:t>
            </w:r>
          </w:p>
        </w:tc>
        <w:tc>
          <w:tcPr>
            <w:tcW w:w="4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2,3 </w:t>
            </w:r>
          </w:p>
        </w:tc>
        <w:tc>
          <w:tcPr>
            <w:tcW w:w="4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 </w:t>
            </w:r>
          </w:p>
        </w:tc>
        <w:tc>
          <w:tcPr>
            <w:tcW w:w="59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Угут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3,3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3,4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3,7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3,2 </w:t>
            </w:r>
          </w:p>
        </w:tc>
        <w:tc>
          <w:tcPr>
            <w:tcW w:w="55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2,3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2,6 </w:t>
            </w:r>
          </w:p>
        </w:tc>
        <w:tc>
          <w:tcPr>
            <w:tcW w:w="4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3,4 </w:t>
            </w:r>
          </w:p>
        </w:tc>
        <w:tc>
          <w:tcPr>
            <w:tcW w:w="4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2,9 </w:t>
            </w:r>
          </w:p>
        </w:tc>
        <w:tc>
          <w:tcPr>
            <w:tcW w:w="4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2,6 </w:t>
            </w:r>
          </w:p>
        </w:tc>
        <w:tc>
          <w:tcPr>
            <w:tcW w:w="59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Уренгой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3,3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2,9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3,5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3,9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4,2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4,4 </w:t>
            </w:r>
          </w:p>
        </w:tc>
        <w:tc>
          <w:tcPr>
            <w:tcW w:w="55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3,5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3,4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3,5 </w:t>
            </w:r>
          </w:p>
        </w:tc>
        <w:tc>
          <w:tcPr>
            <w:tcW w:w="4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4,1 </w:t>
            </w:r>
          </w:p>
        </w:tc>
        <w:tc>
          <w:tcPr>
            <w:tcW w:w="4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3,3 </w:t>
            </w:r>
          </w:p>
        </w:tc>
        <w:tc>
          <w:tcPr>
            <w:tcW w:w="4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3,3 </w:t>
            </w:r>
          </w:p>
        </w:tc>
        <w:tc>
          <w:tcPr>
            <w:tcW w:w="59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Ханты-Мансийск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5,2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5,3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5,6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5,2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5,4 </w:t>
            </w:r>
          </w:p>
        </w:tc>
        <w:tc>
          <w:tcPr>
            <w:tcW w:w="48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5,4 </w:t>
            </w:r>
          </w:p>
        </w:tc>
        <w:tc>
          <w:tcPr>
            <w:tcW w:w="55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4,7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4,1 </w:t>
            </w:r>
          </w:p>
        </w:tc>
        <w:tc>
          <w:tcPr>
            <w:tcW w:w="58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4,5 </w:t>
            </w:r>
          </w:p>
        </w:tc>
        <w:tc>
          <w:tcPr>
            <w:tcW w:w="4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5,4 </w:t>
            </w:r>
          </w:p>
        </w:tc>
        <w:tc>
          <w:tcPr>
            <w:tcW w:w="4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5,5 </w:t>
            </w:r>
          </w:p>
        </w:tc>
        <w:tc>
          <w:tcPr>
            <w:tcW w:w="4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5,3 </w:t>
            </w:r>
          </w:p>
        </w:tc>
        <w:tc>
          <w:tcPr>
            <w:tcW w:w="59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Яр-Сале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1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5,1 </w:t>
            </w:r>
          </w:p>
        </w:tc>
        <w:tc>
          <w:tcPr>
            <w:tcW w:w="481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4,7 </w:t>
            </w:r>
          </w:p>
        </w:tc>
        <w:tc>
          <w:tcPr>
            <w:tcW w:w="481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5,5 </w:t>
            </w:r>
          </w:p>
        </w:tc>
        <w:tc>
          <w:tcPr>
            <w:tcW w:w="481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5,1 </w:t>
            </w:r>
          </w:p>
        </w:tc>
        <w:tc>
          <w:tcPr>
            <w:tcW w:w="481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5,6 </w:t>
            </w:r>
          </w:p>
        </w:tc>
        <w:tc>
          <w:tcPr>
            <w:tcW w:w="481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5,8 </w:t>
            </w:r>
          </w:p>
        </w:tc>
        <w:tc>
          <w:tcPr>
            <w:tcW w:w="553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4,9 </w:t>
            </w:r>
          </w:p>
        </w:tc>
        <w:tc>
          <w:tcPr>
            <w:tcW w:w="586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4,7 </w:t>
            </w:r>
          </w:p>
        </w:tc>
        <w:tc>
          <w:tcPr>
            <w:tcW w:w="586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4,6 </w:t>
            </w:r>
          </w:p>
        </w:tc>
        <w:tc>
          <w:tcPr>
            <w:tcW w:w="492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5,3 </w:t>
            </w:r>
          </w:p>
        </w:tc>
        <w:tc>
          <w:tcPr>
            <w:tcW w:w="467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4,8 </w:t>
            </w:r>
          </w:p>
        </w:tc>
        <w:tc>
          <w:tcPr>
            <w:tcW w:w="496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5,2 </w:t>
            </w:r>
          </w:p>
        </w:tc>
        <w:tc>
          <w:tcPr>
            <w:tcW w:w="596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5,1 </w:t>
            </w:r>
          </w:p>
        </w:tc>
      </w:tr>
    </w:tbl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</w:t>
      </w:r>
      <w:r>
        <w:rPr>
          <w:rFonts w:ascii="Times New Roman" w:hAnsi="Times New Roman"/>
          <w:sz w:val="20"/>
        </w:rPr>
        <w:t xml:space="preserve">1.8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Повторяемость скорости ветра по градациям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(в % от общего числа случаев)</w:t>
      </w:r>
    </w:p>
    <w:p w:rsidR="00000000" w:rsidRDefault="00E74F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855"/>
        <w:gridCol w:w="855"/>
        <w:gridCol w:w="855"/>
        <w:gridCol w:w="855"/>
        <w:gridCol w:w="855"/>
        <w:gridCol w:w="855"/>
        <w:gridCol w:w="855"/>
        <w:gridCol w:w="855"/>
        <w:gridCol w:w="855"/>
        <w:gridCol w:w="825"/>
        <w:gridCol w:w="15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Месяц </w:t>
            </w:r>
          </w:p>
        </w:tc>
        <w:tc>
          <w:tcPr>
            <w:tcW w:w="766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Скорость ветра, м/с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5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0-1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2-3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4-5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6-7 </w:t>
            </w:r>
          </w:p>
        </w:tc>
        <w:tc>
          <w:tcPr>
            <w:tcW w:w="8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8-9 </w:t>
            </w:r>
          </w:p>
        </w:tc>
        <w:tc>
          <w:tcPr>
            <w:tcW w:w="8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10-13 </w:t>
            </w:r>
          </w:p>
        </w:tc>
        <w:tc>
          <w:tcPr>
            <w:tcW w:w="8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14-17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18-20 </w:t>
            </w:r>
          </w:p>
        </w:tc>
        <w:tc>
          <w:tcPr>
            <w:tcW w:w="8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&gt; 20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8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20" w:type="dxa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Александровское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2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Березово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0,03 </w:t>
            </w: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 </w:t>
            </w: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2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Ларьяк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 </w:t>
            </w:r>
          </w:p>
        </w:tc>
        <w:tc>
          <w:tcPr>
            <w:tcW w:w="85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 </w:t>
            </w: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2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Леуши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0,03 </w:t>
            </w: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 </w:t>
            </w: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2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Марресале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 </w:t>
            </w: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</w:t>
            </w: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2,0 </w:t>
            </w: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2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Новый Порт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 </w:t>
            </w: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2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Няксимволь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2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Октябрьское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2,3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2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Парабель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2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Салехард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 </w:t>
            </w: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0,8 </w:t>
            </w: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 </w:t>
            </w: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2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Средний Васюган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2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Сургут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2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Тазовский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 </w:t>
            </w: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1,6 </w:t>
            </w: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2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Тамбей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 </w:t>
            </w: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  <w:r>
              <w:rPr>
                <w:rFonts w:ascii="Times New Roman" w:hAnsi="Times New Roman"/>
                <w:sz w:val="20"/>
              </w:rPr>
              <w:t xml:space="preserve">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 </w:t>
            </w: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 </w:t>
            </w: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2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Тарко-Сале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29,0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25,6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13,3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5,9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8520" w:type="dxa"/>
            <w:gridSpan w:val="10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Толька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29,8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год </w:t>
            </w:r>
          </w:p>
        </w:tc>
        <w:tc>
          <w:tcPr>
            <w:tcW w:w="85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40,9 </w:t>
            </w:r>
          </w:p>
        </w:tc>
        <w:tc>
          <w:tcPr>
            <w:tcW w:w="85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29,8 </w:t>
            </w:r>
          </w:p>
        </w:tc>
        <w:tc>
          <w:tcPr>
            <w:tcW w:w="85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19,2 </w:t>
            </w:r>
          </w:p>
        </w:tc>
        <w:tc>
          <w:tcPr>
            <w:tcW w:w="85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7,1 </w:t>
            </w:r>
          </w:p>
        </w:tc>
        <w:tc>
          <w:tcPr>
            <w:tcW w:w="85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 </w:t>
            </w:r>
          </w:p>
        </w:tc>
        <w:tc>
          <w:tcPr>
            <w:tcW w:w="85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 </w:t>
            </w:r>
          </w:p>
        </w:tc>
        <w:tc>
          <w:tcPr>
            <w:tcW w:w="85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0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</w:tbl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1.9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Среднее число дней с ветром </w:t>
      </w:r>
      <w:r>
        <w:rPr>
          <w:rFonts w:ascii="Times New Roman" w:hAnsi="Times New Roman"/>
          <w:position w:val="-4"/>
          <w:sz w:val="20"/>
        </w:rPr>
        <w:pict>
          <v:shape id="_x0000_i1189" type="#_x0000_t75" style="width:9.75pt;height:12pt">
            <v:imagedata r:id="rId30" o:title=""/>
          </v:shape>
        </w:pict>
      </w:r>
      <w:r>
        <w:rPr>
          <w:rFonts w:ascii="Times New Roman" w:hAnsi="Times New Roman"/>
          <w:sz w:val="20"/>
        </w:rPr>
        <w:t xml:space="preserve">8 м/с и </w:t>
      </w:r>
      <w:r>
        <w:rPr>
          <w:rFonts w:ascii="Times New Roman" w:hAnsi="Times New Roman"/>
          <w:position w:val="-4"/>
          <w:sz w:val="20"/>
        </w:rPr>
        <w:pict>
          <v:shape id="_x0000_i1190" type="#_x0000_t75" style="width:9.75pt;height:12pt">
            <v:imagedata r:id="rId30" o:title=""/>
          </v:shape>
        </w:pict>
      </w:r>
      <w:r>
        <w:rPr>
          <w:rFonts w:ascii="Times New Roman" w:hAnsi="Times New Roman"/>
          <w:sz w:val="20"/>
        </w:rPr>
        <w:t xml:space="preserve"> 12 м/с </w:t>
      </w:r>
    </w:p>
    <w:p w:rsidR="00000000" w:rsidRDefault="00E74F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tbl>
      <w:tblPr>
        <w:tblW w:w="0" w:type="auto"/>
        <w:tblInd w:w="5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80"/>
        <w:gridCol w:w="576"/>
        <w:gridCol w:w="567"/>
        <w:gridCol w:w="709"/>
        <w:gridCol w:w="708"/>
        <w:gridCol w:w="709"/>
        <w:gridCol w:w="709"/>
        <w:gridCol w:w="709"/>
        <w:gridCol w:w="850"/>
        <w:gridCol w:w="851"/>
        <w:gridCol w:w="70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Пункт </w:t>
            </w: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IV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Х 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</w:t>
            </w:r>
            <w:r>
              <w:rPr>
                <w:rFonts w:ascii="Times New Roman" w:hAnsi="Times New Roman"/>
                <w:sz w:val="20"/>
              </w:rPr>
              <w:t xml:space="preserve">од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191" type="#_x0000_t75" style="width:9.75pt;height:12pt">
                  <v:imagedata r:id="rId3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192" type="#_x0000_t75" style="width:9.75pt;height:12pt">
                  <v:imagedata r:id="rId3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193" type="#_x0000_t75" style="width:9.75pt;height:12pt">
                  <v:imagedata r:id="rId3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194" type="#_x0000_t75" style="width:9.75pt;height:12pt">
                  <v:imagedata r:id="rId3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12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195" type="#_x0000_t75" style="width:9.75pt;height:12pt">
                  <v:imagedata r:id="rId3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196" type="#_x0000_t75" style="width:9.75pt;height:12pt">
                  <v:imagedata r:id="rId3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12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197" type="#_x0000_t75" style="width:9.75pt;height:12pt">
                  <v:imagedata r:id="rId3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198" type="#_x0000_t75" style="width:9.75pt;height:12pt">
                  <v:imagedata r:id="rId3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199" type="#_x0000_t75" style="width:9.75pt;height:12pt">
                  <v:imagedata r:id="rId3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200" type="#_x0000_t75" style="width:9.75pt;height:12pt">
                  <v:imagedata r:id="rId3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Березово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4,5 </w:t>
            </w:r>
          </w:p>
        </w:tc>
        <w:tc>
          <w:tcPr>
            <w:tcW w:w="567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 </w:t>
            </w:r>
          </w:p>
        </w:tc>
        <w:tc>
          <w:tcPr>
            <w:tcW w:w="709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6,5 </w:t>
            </w:r>
          </w:p>
        </w:tc>
        <w:tc>
          <w:tcPr>
            <w:tcW w:w="708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2,2 </w:t>
            </w:r>
          </w:p>
        </w:tc>
        <w:tc>
          <w:tcPr>
            <w:tcW w:w="709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8,2 </w:t>
            </w:r>
          </w:p>
        </w:tc>
        <w:tc>
          <w:tcPr>
            <w:tcW w:w="709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2,6 </w:t>
            </w:r>
          </w:p>
        </w:tc>
        <w:tc>
          <w:tcPr>
            <w:tcW w:w="709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6,9 </w:t>
            </w:r>
          </w:p>
        </w:tc>
        <w:tc>
          <w:tcPr>
            <w:tcW w:w="85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</w:p>
        </w:tc>
        <w:tc>
          <w:tcPr>
            <w:tcW w:w="851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 </w:t>
            </w:r>
          </w:p>
        </w:tc>
        <w:tc>
          <w:tcPr>
            <w:tcW w:w="708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Ларьяк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5,4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8,7 </w:t>
            </w: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2,9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7,8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1,7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72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Мужи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7,3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13,1 </w:t>
            </w: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3,9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8,4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7,9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4,3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109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Надым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4,5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6,3 </w:t>
            </w: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4,7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4,7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Новый Порт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7,6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8,0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4,9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8,8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Октябрьское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5,3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1,8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7,0 </w:t>
            </w: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5,6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7,6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2,7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77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Салехард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9,2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3,6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12,6 </w:t>
            </w: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4,7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12,4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4,7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12,5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5,8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134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Сургут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9,0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3,8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9,7 </w:t>
            </w: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4,4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7,3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12,1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5,6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111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Тазовский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23,3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13,6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22,1 </w:t>
            </w: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11,8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18,5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6,1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22,0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10,0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250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Тарко-Сале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6,8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2,1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8,8 </w:t>
            </w: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2,3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5,3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7,4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1,7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83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Угут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4,7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6,8 </w:t>
            </w: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1,2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5,3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0,8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Уренгой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76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13,1 </w:t>
            </w:r>
          </w:p>
        </w:tc>
        <w:tc>
          <w:tcPr>
            <w:tcW w:w="567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3,9 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16,4 </w:t>
            </w:r>
          </w:p>
        </w:tc>
        <w:tc>
          <w:tcPr>
            <w:tcW w:w="708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5,4 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13,3 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3,4 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15,9 </w:t>
            </w:r>
          </w:p>
        </w:tc>
        <w:tc>
          <w:tcPr>
            <w:tcW w:w="85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5,2 </w:t>
            </w:r>
          </w:p>
        </w:tc>
        <w:tc>
          <w:tcPr>
            <w:tcW w:w="851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168 </w:t>
            </w: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49 </w:t>
            </w:r>
          </w:p>
        </w:tc>
      </w:tr>
    </w:tbl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1.10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Обеспеченность различного числа дней в году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 ветром 15 м/с и более </w:t>
      </w:r>
    </w:p>
    <w:p w:rsidR="00000000" w:rsidRDefault="00E74F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620"/>
        <w:gridCol w:w="648"/>
        <w:gridCol w:w="709"/>
        <w:gridCol w:w="851"/>
        <w:gridCol w:w="708"/>
        <w:gridCol w:w="709"/>
        <w:gridCol w:w="851"/>
        <w:gridCol w:w="850"/>
        <w:gridCol w:w="851"/>
        <w:gridCol w:w="70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Пункт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85" w:type="dxa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Обеспеченность, %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95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Березово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4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Ларьяк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4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Мужи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4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 </w:t>
            </w: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Надым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4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Новый Порт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4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99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78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62 </w:t>
            </w: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47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Октябрьское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4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 </w:t>
            </w: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Салехард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4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68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 </w:t>
            </w: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Сургут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4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88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74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63 </w:t>
            </w: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Тазовский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4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97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82 </w:t>
            </w: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68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47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Тамбей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4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83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69 </w:t>
            </w: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63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Тарко-Сале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4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 </w:t>
            </w: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Уренгой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4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 </w:t>
            </w:r>
          </w:p>
        </w:tc>
        <w:tc>
          <w:tcPr>
            <w:tcW w:w="70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70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2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Ханты-Мансийск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648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96 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91 </w:t>
            </w:r>
          </w:p>
        </w:tc>
        <w:tc>
          <w:tcPr>
            <w:tcW w:w="851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89 </w:t>
            </w:r>
          </w:p>
        </w:tc>
        <w:tc>
          <w:tcPr>
            <w:tcW w:w="708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73 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 </w:t>
            </w:r>
          </w:p>
        </w:tc>
        <w:tc>
          <w:tcPr>
            <w:tcW w:w="851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85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851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</w:tr>
    </w:tbl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1.11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Высота и продолжительность залегания снежного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покрова </w:t>
      </w:r>
    </w:p>
    <w:p w:rsidR="00000000" w:rsidRDefault="00E74F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15"/>
        <w:gridCol w:w="1020"/>
        <w:gridCol w:w="1020"/>
        <w:gridCol w:w="450"/>
        <w:gridCol w:w="420"/>
        <w:gridCol w:w="525"/>
        <w:gridCol w:w="465"/>
        <w:gridCol w:w="435"/>
        <w:gridCol w:w="465"/>
        <w:gridCol w:w="525"/>
        <w:gridCol w:w="115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Пункт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Макси- мальная из наи- </w:t>
            </w:r>
          </w:p>
        </w:tc>
        <w:tc>
          <w:tcPr>
            <w:tcW w:w="102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Средняя из наи- больших </w:t>
            </w:r>
          </w:p>
        </w:tc>
        <w:tc>
          <w:tcPr>
            <w:tcW w:w="328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Обеспеченность наибольших декадных высот, см </w:t>
            </w:r>
          </w:p>
        </w:tc>
        <w:tc>
          <w:tcPr>
            <w:tcW w:w="115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Продол- житель- ность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боль- ших </w:t>
            </w: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высота снежного </w:t>
            </w:r>
          </w:p>
        </w:tc>
        <w:tc>
          <w:tcPr>
            <w:tcW w:w="3285" w:type="dxa"/>
            <w:gridSpan w:val="7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Обеспеченность, %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залега</w:t>
            </w:r>
            <w:r>
              <w:rPr>
                <w:rFonts w:ascii="Times New Roman" w:hAnsi="Times New Roman"/>
                <w:sz w:val="20"/>
              </w:rPr>
              <w:t xml:space="preserve">ния устой-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высота снежного покрова, см</w:t>
            </w: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покрова, см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95 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 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  <w:tc>
          <w:tcPr>
            <w:tcW w:w="4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чивого снежного покрова, дни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Александровское (з)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82 </w:t>
            </w:r>
          </w:p>
        </w:tc>
        <w:tc>
          <w:tcPr>
            <w:tcW w:w="102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</w:t>
            </w:r>
          </w:p>
        </w:tc>
        <w:tc>
          <w:tcPr>
            <w:tcW w:w="45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 </w:t>
            </w:r>
          </w:p>
        </w:tc>
        <w:tc>
          <w:tcPr>
            <w:tcW w:w="42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 </w:t>
            </w:r>
          </w:p>
        </w:tc>
        <w:tc>
          <w:tcPr>
            <w:tcW w:w="52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 </w:t>
            </w:r>
          </w:p>
        </w:tc>
        <w:tc>
          <w:tcPr>
            <w:tcW w:w="46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63 </w:t>
            </w:r>
          </w:p>
        </w:tc>
        <w:tc>
          <w:tcPr>
            <w:tcW w:w="43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74 </w:t>
            </w:r>
          </w:p>
        </w:tc>
        <w:tc>
          <w:tcPr>
            <w:tcW w:w="46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88 </w:t>
            </w:r>
          </w:p>
        </w:tc>
        <w:tc>
          <w:tcPr>
            <w:tcW w:w="52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105 </w:t>
            </w:r>
          </w:p>
        </w:tc>
        <w:tc>
          <w:tcPr>
            <w:tcW w:w="115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Березово (з)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101 </w:t>
            </w: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64 </w:t>
            </w:r>
          </w:p>
        </w:tc>
        <w:tc>
          <w:tcPr>
            <w:tcW w:w="4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4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65 </w:t>
            </w:r>
          </w:p>
        </w:tc>
        <w:tc>
          <w:tcPr>
            <w:tcW w:w="4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78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97 </w:t>
            </w: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Ларьяк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76 </w:t>
            </w: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 </w:t>
            </w:r>
          </w:p>
        </w:tc>
        <w:tc>
          <w:tcPr>
            <w:tcW w:w="4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  <w:tc>
          <w:tcPr>
            <w:tcW w:w="4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 </w:t>
            </w:r>
          </w:p>
        </w:tc>
        <w:tc>
          <w:tcPr>
            <w:tcW w:w="4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77 </w:t>
            </w: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Леуши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 </w:t>
            </w: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 </w:t>
            </w:r>
          </w:p>
        </w:tc>
        <w:tc>
          <w:tcPr>
            <w:tcW w:w="4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4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 </w:t>
            </w:r>
          </w:p>
        </w:tc>
        <w:tc>
          <w:tcPr>
            <w:tcW w:w="4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 </w:t>
            </w: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Мужи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94 </w:t>
            </w: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 </w:t>
            </w:r>
          </w:p>
        </w:tc>
        <w:tc>
          <w:tcPr>
            <w:tcW w:w="4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4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 </w:t>
            </w:r>
          </w:p>
        </w:tc>
        <w:tc>
          <w:tcPr>
            <w:tcW w:w="4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54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67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76 </w:t>
            </w: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Надым (з)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94 </w:t>
            </w: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77 </w:t>
            </w:r>
          </w:p>
        </w:tc>
        <w:tc>
          <w:tcPr>
            <w:tcW w:w="4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4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41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62 </w:t>
            </w:r>
          </w:p>
        </w:tc>
        <w:tc>
          <w:tcPr>
            <w:tcW w:w="4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69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79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94 </w:t>
            </w: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Новый По</w:t>
            </w:r>
            <w:r>
              <w:rPr>
                <w:rFonts w:ascii="Times New Roman" w:hAnsi="Times New Roman"/>
                <w:sz w:val="20"/>
              </w:rPr>
              <w:t>рт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64 </w:t>
            </w: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 </w:t>
            </w:r>
          </w:p>
        </w:tc>
        <w:tc>
          <w:tcPr>
            <w:tcW w:w="4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4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 </w:t>
            </w:r>
          </w:p>
        </w:tc>
        <w:tc>
          <w:tcPr>
            <w:tcW w:w="4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 </w:t>
            </w: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Няксимволь (з)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84 </w:t>
            </w: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 </w:t>
            </w:r>
          </w:p>
        </w:tc>
        <w:tc>
          <w:tcPr>
            <w:tcW w:w="4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4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54 </w:t>
            </w:r>
          </w:p>
        </w:tc>
        <w:tc>
          <w:tcPr>
            <w:tcW w:w="4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68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84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 </w:t>
            </w: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Октябрьское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83 </w:t>
            </w: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 </w:t>
            </w:r>
          </w:p>
        </w:tc>
        <w:tc>
          <w:tcPr>
            <w:tcW w:w="4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4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47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 </w:t>
            </w:r>
          </w:p>
        </w:tc>
        <w:tc>
          <w:tcPr>
            <w:tcW w:w="4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65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73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77 </w:t>
            </w: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Сеяха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49 </w:t>
            </w: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 </w:t>
            </w:r>
          </w:p>
        </w:tc>
        <w:tc>
          <w:tcPr>
            <w:tcW w:w="4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4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 </w:t>
            </w:r>
          </w:p>
        </w:tc>
        <w:tc>
          <w:tcPr>
            <w:tcW w:w="4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 </w:t>
            </w: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Сосьва (з)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91 </w:t>
            </w: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 </w:t>
            </w:r>
          </w:p>
        </w:tc>
        <w:tc>
          <w:tcPr>
            <w:tcW w:w="4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4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 </w:t>
            </w:r>
          </w:p>
        </w:tc>
        <w:tc>
          <w:tcPr>
            <w:tcW w:w="4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83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91 </w:t>
            </w: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Сургут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91 </w:t>
            </w: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47 </w:t>
            </w:r>
          </w:p>
        </w:tc>
        <w:tc>
          <w:tcPr>
            <w:tcW w:w="4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 </w:t>
            </w:r>
          </w:p>
        </w:tc>
        <w:tc>
          <w:tcPr>
            <w:tcW w:w="4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 </w:t>
            </w:r>
          </w:p>
        </w:tc>
        <w:tc>
          <w:tcPr>
            <w:tcW w:w="4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54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64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73 </w:t>
            </w: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Тамбей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67 </w:t>
            </w: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 </w:t>
            </w:r>
          </w:p>
        </w:tc>
        <w:tc>
          <w:tcPr>
            <w:tcW w:w="4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  <w:tc>
          <w:tcPr>
            <w:tcW w:w="4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 </w:t>
            </w:r>
          </w:p>
        </w:tc>
        <w:tc>
          <w:tcPr>
            <w:tcW w:w="4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67 </w:t>
            </w: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Яр-Сале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 </w:t>
            </w: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 </w:t>
            </w:r>
          </w:p>
        </w:tc>
        <w:tc>
          <w:tcPr>
            <w:tcW w:w="4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4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 </w:t>
            </w:r>
          </w:p>
        </w:tc>
        <w:tc>
          <w:tcPr>
            <w:tcW w:w="4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 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Кондинское</w:t>
            </w:r>
            <w:r>
              <w:rPr>
                <w:rFonts w:ascii="Times New Roman" w:hAnsi="Times New Roman"/>
                <w:sz w:val="20"/>
              </w:rPr>
              <w:t xml:space="preserve"> (з)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 </w:t>
            </w:r>
          </w:p>
        </w:tc>
        <w:tc>
          <w:tcPr>
            <w:tcW w:w="4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Салехард (з)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74 </w:t>
            </w: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64 </w:t>
            </w:r>
          </w:p>
        </w:tc>
        <w:tc>
          <w:tcPr>
            <w:tcW w:w="4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Средний Васюган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49 </w:t>
            </w: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67 </w:t>
            </w:r>
          </w:p>
        </w:tc>
        <w:tc>
          <w:tcPr>
            <w:tcW w:w="4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Тазовский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4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Тарко-Сале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76 </w:t>
            </w: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</w:tc>
        <w:tc>
          <w:tcPr>
            <w:tcW w:w="4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Толька (з)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88 </w:t>
            </w: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74 </w:t>
            </w:r>
          </w:p>
        </w:tc>
        <w:tc>
          <w:tcPr>
            <w:tcW w:w="4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Угут (з)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82 </w:t>
            </w: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65 </w:t>
            </w:r>
          </w:p>
        </w:tc>
        <w:tc>
          <w:tcPr>
            <w:tcW w:w="4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Уренгой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81 </w:t>
            </w:r>
          </w:p>
        </w:tc>
        <w:tc>
          <w:tcPr>
            <w:tcW w:w="10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 </w:t>
            </w:r>
          </w:p>
        </w:tc>
        <w:tc>
          <w:tcPr>
            <w:tcW w:w="4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2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1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Ханты-Мансийск (з)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88 </w:t>
            </w:r>
          </w:p>
        </w:tc>
        <w:tc>
          <w:tcPr>
            <w:tcW w:w="102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 </w:t>
            </w:r>
          </w:p>
        </w:tc>
        <w:tc>
          <w:tcPr>
            <w:tcW w:w="45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2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2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6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3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46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52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5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192 </w:t>
            </w:r>
          </w:p>
        </w:tc>
      </w:tr>
    </w:tbl>
    <w:p w:rsidR="00000000" w:rsidRDefault="00E74F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E74F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Примечание: значком (з) отмечены данные н</w:t>
      </w:r>
      <w:r>
        <w:rPr>
          <w:rFonts w:ascii="Times New Roman" w:hAnsi="Times New Roman"/>
          <w:sz w:val="20"/>
        </w:rPr>
        <w:t>аблюдений в защищенном месте</w:t>
      </w: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1.12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Перенос снега </w:t>
      </w:r>
    </w:p>
    <w:p w:rsidR="00000000" w:rsidRDefault="00E74F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830"/>
        <w:gridCol w:w="525"/>
        <w:gridCol w:w="525"/>
        <w:gridCol w:w="525"/>
        <w:gridCol w:w="585"/>
        <w:gridCol w:w="585"/>
        <w:gridCol w:w="630"/>
        <w:gridCol w:w="525"/>
        <w:gridCol w:w="570"/>
        <w:gridCol w:w="930"/>
        <w:gridCol w:w="100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3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Пункт </w:t>
            </w:r>
          </w:p>
        </w:tc>
        <w:tc>
          <w:tcPr>
            <w:tcW w:w="447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Максимальный за зиму перенос снега по направлению ветра, 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201" type="#_x0000_t75" style="width:9pt;height:17.25pt">
                  <v:imagedata r:id="rId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/1 м погонной длины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35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Перенос снега за зиму 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202" type="#_x0000_t75" style="width:9pt;height:17.25pt">
                  <v:imagedata r:id="rId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/1 м погонной длины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3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СВ 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ЮВ 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Ю 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ЮЗ 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СЗ 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средний 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макси- мальный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3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Березово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2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207 </w:t>
            </w:r>
          </w:p>
        </w:tc>
        <w:tc>
          <w:tcPr>
            <w:tcW w:w="52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126 </w:t>
            </w:r>
          </w:p>
        </w:tc>
        <w:tc>
          <w:tcPr>
            <w:tcW w:w="52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58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 </w:t>
            </w:r>
          </w:p>
        </w:tc>
        <w:tc>
          <w:tcPr>
            <w:tcW w:w="58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65 </w:t>
            </w:r>
          </w:p>
        </w:tc>
        <w:tc>
          <w:tcPr>
            <w:tcW w:w="63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 </w:t>
            </w:r>
          </w:p>
        </w:tc>
        <w:tc>
          <w:tcPr>
            <w:tcW w:w="52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49 </w:t>
            </w:r>
          </w:p>
        </w:tc>
        <w:tc>
          <w:tcPr>
            <w:tcW w:w="57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 </w:t>
            </w:r>
          </w:p>
        </w:tc>
        <w:tc>
          <w:tcPr>
            <w:tcW w:w="93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159 </w:t>
            </w:r>
          </w:p>
        </w:tc>
        <w:tc>
          <w:tcPr>
            <w:tcW w:w="100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3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Ларьяк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 </w:t>
            </w:r>
          </w:p>
        </w:tc>
        <w:tc>
          <w:tcPr>
            <w:tcW w:w="5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71 </w:t>
            </w:r>
          </w:p>
        </w:tc>
        <w:tc>
          <w:tcPr>
            <w:tcW w:w="5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88 </w:t>
            </w: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82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83 </w:t>
            </w:r>
          </w:p>
        </w:tc>
        <w:tc>
          <w:tcPr>
            <w:tcW w:w="9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176 </w:t>
            </w:r>
          </w:p>
        </w:tc>
        <w:tc>
          <w:tcPr>
            <w:tcW w:w="100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3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Новый Порт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355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230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156 </w:t>
            </w:r>
          </w:p>
        </w:tc>
        <w:tc>
          <w:tcPr>
            <w:tcW w:w="5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376 </w:t>
            </w:r>
          </w:p>
        </w:tc>
        <w:tc>
          <w:tcPr>
            <w:tcW w:w="5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548 </w:t>
            </w: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1029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345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531 </w:t>
            </w:r>
          </w:p>
        </w:tc>
        <w:tc>
          <w:tcPr>
            <w:tcW w:w="9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1286 </w:t>
            </w:r>
          </w:p>
        </w:tc>
        <w:tc>
          <w:tcPr>
            <w:tcW w:w="100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2127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3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Октябрьскре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104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144 </w:t>
            </w:r>
          </w:p>
        </w:tc>
        <w:tc>
          <w:tcPr>
            <w:tcW w:w="5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196 </w:t>
            </w:r>
          </w:p>
        </w:tc>
        <w:tc>
          <w:tcPr>
            <w:tcW w:w="5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62 </w:t>
            </w: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84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47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</w:tc>
        <w:tc>
          <w:tcPr>
            <w:tcW w:w="9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172 </w:t>
            </w:r>
          </w:p>
        </w:tc>
        <w:tc>
          <w:tcPr>
            <w:tcW w:w="100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3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Салехард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176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348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54 </w:t>
            </w:r>
          </w:p>
        </w:tc>
        <w:tc>
          <w:tcPr>
            <w:tcW w:w="5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5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 </w:t>
            </w: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156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143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327 </w:t>
            </w:r>
          </w:p>
        </w:tc>
        <w:tc>
          <w:tcPr>
            <w:tcW w:w="9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378 </w:t>
            </w:r>
          </w:p>
        </w:tc>
        <w:tc>
          <w:tcPr>
            <w:tcW w:w="100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955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3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Сургут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104 </w:t>
            </w:r>
          </w:p>
        </w:tc>
        <w:tc>
          <w:tcPr>
            <w:tcW w:w="5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109 </w:t>
            </w:r>
          </w:p>
        </w:tc>
        <w:tc>
          <w:tcPr>
            <w:tcW w:w="5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182 </w:t>
            </w: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130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155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201 </w:t>
            </w:r>
          </w:p>
        </w:tc>
        <w:tc>
          <w:tcPr>
            <w:tcW w:w="9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214 </w:t>
            </w:r>
          </w:p>
        </w:tc>
        <w:tc>
          <w:tcPr>
            <w:tcW w:w="100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3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Тарко-Сале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 </w:t>
            </w:r>
          </w:p>
        </w:tc>
        <w:tc>
          <w:tcPr>
            <w:tcW w:w="5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125 </w:t>
            </w:r>
          </w:p>
        </w:tc>
        <w:tc>
          <w:tcPr>
            <w:tcW w:w="5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367 </w:t>
            </w: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107 </w:t>
            </w:r>
          </w:p>
        </w:tc>
        <w:tc>
          <w:tcPr>
            <w:tcW w:w="5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 </w:t>
            </w:r>
          </w:p>
        </w:tc>
        <w:tc>
          <w:tcPr>
            <w:tcW w:w="5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9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210 </w:t>
            </w:r>
          </w:p>
        </w:tc>
        <w:tc>
          <w:tcPr>
            <w:tcW w:w="100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3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Уренгой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2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69 </w:t>
            </w:r>
          </w:p>
        </w:tc>
        <w:tc>
          <w:tcPr>
            <w:tcW w:w="52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52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 </w:t>
            </w:r>
          </w:p>
        </w:tc>
        <w:tc>
          <w:tcPr>
            <w:tcW w:w="58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173 </w:t>
            </w:r>
          </w:p>
        </w:tc>
        <w:tc>
          <w:tcPr>
            <w:tcW w:w="58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84 </w:t>
            </w:r>
          </w:p>
        </w:tc>
        <w:tc>
          <w:tcPr>
            <w:tcW w:w="63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166 </w:t>
            </w:r>
          </w:p>
        </w:tc>
        <w:tc>
          <w:tcPr>
            <w:tcW w:w="52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161 </w:t>
            </w:r>
          </w:p>
        </w:tc>
        <w:tc>
          <w:tcPr>
            <w:tcW w:w="57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113 </w:t>
            </w:r>
          </w:p>
        </w:tc>
        <w:tc>
          <w:tcPr>
            <w:tcW w:w="93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761 </w:t>
            </w:r>
          </w:p>
        </w:tc>
      </w:tr>
    </w:tbl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1.13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Повторяемость и продолжительность метелей, число дней с метелью </w:t>
      </w:r>
    </w:p>
    <w:p w:rsidR="00000000" w:rsidRDefault="00E74F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tbl>
      <w:tblPr>
        <w:tblW w:w="0" w:type="auto"/>
        <w:tblInd w:w="10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43"/>
        <w:gridCol w:w="516"/>
        <w:gridCol w:w="532"/>
        <w:gridCol w:w="469"/>
        <w:gridCol w:w="532"/>
        <w:gridCol w:w="500"/>
        <w:gridCol w:w="516"/>
        <w:gridCol w:w="469"/>
        <w:gridCol w:w="516"/>
        <w:gridCol w:w="1032"/>
        <w:gridCol w:w="795"/>
        <w:gridCol w:w="7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Пункт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049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Повторяемость метелей по направлениям ветра, %</w:t>
            </w:r>
          </w:p>
        </w:tc>
        <w:tc>
          <w:tcPr>
            <w:tcW w:w="1032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Продол- житель- </w:t>
            </w:r>
          </w:p>
        </w:tc>
        <w:tc>
          <w:tcPr>
            <w:tcW w:w="15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Число дней с метелью за зиму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5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СВ </w:t>
            </w:r>
          </w:p>
        </w:tc>
        <w:tc>
          <w:tcPr>
            <w:tcW w:w="4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</w:t>
            </w:r>
          </w:p>
        </w:tc>
        <w:tc>
          <w:tcPr>
            <w:tcW w:w="5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ЮВ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Ю </w:t>
            </w:r>
          </w:p>
        </w:tc>
        <w:tc>
          <w:tcPr>
            <w:tcW w:w="5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ЮЗ </w:t>
            </w:r>
          </w:p>
        </w:tc>
        <w:tc>
          <w:tcPr>
            <w:tcW w:w="4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 </w:t>
            </w:r>
          </w:p>
        </w:tc>
        <w:tc>
          <w:tcPr>
            <w:tcW w:w="5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СЗ </w:t>
            </w:r>
          </w:p>
        </w:tc>
        <w:tc>
          <w:tcPr>
            <w:tcW w:w="10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ность метелей  за зиму, ч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среднее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наибо- льшее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Александровское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6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532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469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532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50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516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 </w:t>
            </w:r>
          </w:p>
        </w:tc>
        <w:tc>
          <w:tcPr>
            <w:tcW w:w="469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516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1032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389 </w:t>
            </w:r>
          </w:p>
        </w:tc>
        <w:tc>
          <w:tcPr>
            <w:tcW w:w="79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 </w:t>
            </w:r>
          </w:p>
        </w:tc>
        <w:tc>
          <w:tcPr>
            <w:tcW w:w="708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Березово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5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10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210 </w:t>
            </w:r>
          </w:p>
        </w:tc>
        <w:tc>
          <w:tcPr>
            <w:tcW w:w="79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Ларьяк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5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10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393 </w:t>
            </w:r>
          </w:p>
        </w:tc>
        <w:tc>
          <w:tcPr>
            <w:tcW w:w="79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Леуши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5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10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9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Марресале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 </w:t>
            </w:r>
          </w:p>
        </w:tc>
        <w:tc>
          <w:tcPr>
            <w:tcW w:w="5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10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836 </w:t>
            </w:r>
          </w:p>
        </w:tc>
        <w:tc>
          <w:tcPr>
            <w:tcW w:w="79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91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Мужи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5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  <w:tc>
          <w:tcPr>
            <w:tcW w:w="10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9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Новый Порт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5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10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1153 </w:t>
            </w:r>
          </w:p>
        </w:tc>
        <w:tc>
          <w:tcPr>
            <w:tcW w:w="79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108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Октябрь-ское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5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10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274 </w:t>
            </w:r>
          </w:p>
        </w:tc>
        <w:tc>
          <w:tcPr>
            <w:tcW w:w="79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Парабель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5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10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9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Салехард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5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10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378 </w:t>
            </w:r>
          </w:p>
        </w:tc>
        <w:tc>
          <w:tcPr>
            <w:tcW w:w="79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54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Средний Васюган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5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10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9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Сургут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5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10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162 </w:t>
            </w:r>
          </w:p>
        </w:tc>
        <w:tc>
          <w:tcPr>
            <w:tcW w:w="79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Тамбей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5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10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1196 </w:t>
            </w:r>
          </w:p>
        </w:tc>
        <w:tc>
          <w:tcPr>
            <w:tcW w:w="79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119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Тарко-Сале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5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10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314 </w:t>
            </w:r>
          </w:p>
        </w:tc>
        <w:tc>
          <w:tcPr>
            <w:tcW w:w="79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Толька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5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5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46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</w:t>
            </w:r>
          </w:p>
        </w:tc>
        <w:tc>
          <w:tcPr>
            <w:tcW w:w="51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103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9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 </w:t>
            </w:r>
          </w:p>
        </w:tc>
        <w:tc>
          <w:tcPr>
            <w:tcW w:w="70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Яр-Сале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6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532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469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532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50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516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469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516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1032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9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77 </w:t>
            </w: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119 </w:t>
            </w:r>
          </w:p>
        </w:tc>
      </w:tr>
    </w:tbl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1.14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Суммарная (прямая и рассеянная) солнечная радиация, поступающая на горизонтальную поверхность по месяцам при действительных условиях облачности, МДж/м</w:t>
      </w:r>
      <w:r>
        <w:rPr>
          <w:rFonts w:ascii="Times New Roman" w:hAnsi="Times New Roman"/>
          <w:position w:val="-4"/>
          <w:sz w:val="20"/>
        </w:rPr>
        <w:pict>
          <v:shape id="_x0000_i1203" type="#_x0000_t75" style="width:9pt;height:17.25pt">
            <v:imagedata r:id="rId14" o:title=""/>
          </v:shape>
        </w:pict>
      </w:r>
    </w:p>
    <w:p w:rsidR="00000000" w:rsidRDefault="00E74F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2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Пункт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II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III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IV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VIII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IX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X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XI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XII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Октябрьское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  <w:tc>
          <w:tcPr>
            <w:tcW w:w="567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88 </w:t>
            </w:r>
          </w:p>
        </w:tc>
        <w:tc>
          <w:tcPr>
            <w:tcW w:w="567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247 </w:t>
            </w:r>
          </w:p>
        </w:tc>
        <w:tc>
          <w:tcPr>
            <w:tcW w:w="567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402 </w:t>
            </w:r>
          </w:p>
        </w:tc>
        <w:tc>
          <w:tcPr>
            <w:tcW w:w="567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515 </w:t>
            </w:r>
          </w:p>
        </w:tc>
        <w:tc>
          <w:tcPr>
            <w:tcW w:w="567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574 </w:t>
            </w:r>
          </w:p>
        </w:tc>
        <w:tc>
          <w:tcPr>
            <w:tcW w:w="567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570 </w:t>
            </w:r>
          </w:p>
        </w:tc>
        <w:tc>
          <w:tcPr>
            <w:tcW w:w="567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386 </w:t>
            </w:r>
          </w:p>
        </w:tc>
        <w:tc>
          <w:tcPr>
            <w:tcW w:w="567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214 </w:t>
            </w:r>
          </w:p>
        </w:tc>
        <w:tc>
          <w:tcPr>
            <w:tcW w:w="567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96 </w:t>
            </w:r>
          </w:p>
        </w:tc>
        <w:tc>
          <w:tcPr>
            <w:tcW w:w="567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 </w:t>
            </w:r>
          </w:p>
        </w:tc>
        <w:tc>
          <w:tcPr>
            <w:tcW w:w="567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Салехард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230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432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599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601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605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381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205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86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Тарко-Сале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71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243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435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523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528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582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356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172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92 </w:t>
            </w:r>
          </w:p>
        </w:tc>
        <w:tc>
          <w:tcPr>
            <w:tcW w:w="5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 </w:t>
            </w:r>
          </w:p>
        </w:tc>
        <w:tc>
          <w:tcPr>
            <w:tcW w:w="567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Сытомино</w:t>
            </w:r>
          </w:p>
        </w:tc>
        <w:tc>
          <w:tcPr>
            <w:tcW w:w="567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 </w:t>
            </w:r>
          </w:p>
        </w:tc>
        <w:tc>
          <w:tcPr>
            <w:tcW w:w="567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105 </w:t>
            </w:r>
          </w:p>
        </w:tc>
        <w:tc>
          <w:tcPr>
            <w:tcW w:w="567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301 </w:t>
            </w:r>
          </w:p>
        </w:tc>
        <w:tc>
          <w:tcPr>
            <w:tcW w:w="567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460 </w:t>
            </w:r>
          </w:p>
        </w:tc>
        <w:tc>
          <w:tcPr>
            <w:tcW w:w="567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546 </w:t>
            </w:r>
          </w:p>
        </w:tc>
        <w:tc>
          <w:tcPr>
            <w:tcW w:w="567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568 </w:t>
            </w:r>
          </w:p>
        </w:tc>
        <w:tc>
          <w:tcPr>
            <w:tcW w:w="567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567 </w:t>
            </w:r>
          </w:p>
        </w:tc>
        <w:tc>
          <w:tcPr>
            <w:tcW w:w="567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404 </w:t>
            </w:r>
          </w:p>
        </w:tc>
        <w:tc>
          <w:tcPr>
            <w:tcW w:w="567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236 </w:t>
            </w:r>
          </w:p>
        </w:tc>
        <w:tc>
          <w:tcPr>
            <w:tcW w:w="567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115 </w:t>
            </w:r>
          </w:p>
        </w:tc>
        <w:tc>
          <w:tcPr>
            <w:tcW w:w="567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 </w:t>
            </w:r>
          </w:p>
        </w:tc>
        <w:tc>
          <w:tcPr>
            <w:tcW w:w="567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 </w:t>
            </w:r>
          </w:p>
        </w:tc>
      </w:tr>
    </w:tbl>
    <w:p w:rsidR="00000000" w:rsidRDefault="00E74FE9">
      <w:pPr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both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Приложение 2</w:t>
      </w: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204" type="#_x0000_t75" style="width:471.75pt;height:507.75pt">
            <v:imagedata r:id="rId31" o:title=""/>
          </v:shape>
        </w:pic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2.1. Схематическая карта распределения температуры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воздуха наиболее холодных суток обеспеченностью 0,92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205" type="#_x0000_t75" style="width:444pt;height:493.5pt">
            <v:imagedata r:id="rId32" o:title=""/>
          </v:shape>
        </w:pic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2.2. Схематическая карта распределения температуры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воздуха наиболее холодной пятидневки обеспеченностью 0,92 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206" type="#_x0000_t75" style="width:487.5pt;height:533.25pt">
            <v:imagedata r:id="rId33" o:title=""/>
          </v:shape>
        </w:pic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Рис.2.3. Схематическая карта распределения средней температуры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воздуха отопительного периода, °С 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207" type="#_x0000_t75" style="width:485.25pt;height:548.25pt">
            <v:imagedata r:id="rId34" o:title=""/>
          </v:shape>
        </w:pic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2.</w:t>
      </w:r>
      <w:r>
        <w:rPr>
          <w:rFonts w:ascii="Times New Roman" w:hAnsi="Times New Roman"/>
          <w:sz w:val="20"/>
        </w:rPr>
        <w:t xml:space="preserve">4. Схематическая карта распределения 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продолжительности отопительного периода, сут.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208" type="#_x0000_t75" style="width:402.75pt;height:503.25pt">
            <v:imagedata r:id="rId35" o:title=""/>
          </v:shape>
        </w:pic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2.5. Схематическая карта распределения числа дней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 переходом температуры воздуха через 0° за год.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209" type="#_x0000_t75" style="width:454.5pt;height:525.75pt">
            <v:imagedata r:id="rId36" o:title=""/>
          </v:shape>
        </w:pic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2.6. Схематическая карта распределения максимальной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глубины нулевой изотермы, возможной 1 раз в 10 лет, см 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210" type="#_x0000_t75" style="width:447.75pt;height:507.75pt">
            <v:imagedata r:id="rId37" o:title=""/>
          </v:shape>
        </w:pic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2.7. Схематическая карта распределения максимальной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глубины нулевой изотермы, возможной 1 раз в 50 лет, см 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211" type="#_x0000_t75" style="width:468.75pt;height:551.25pt">
            <v:imagedata r:id="rId38" o:title=""/>
          </v:shape>
        </w:pic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2.8. Схематическая карта распределения максимальных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из средних  скорост</w:t>
      </w:r>
      <w:r>
        <w:rPr>
          <w:rFonts w:ascii="Times New Roman" w:hAnsi="Times New Roman"/>
          <w:sz w:val="20"/>
        </w:rPr>
        <w:t>ей ветра (V м/с) по румбам за январь,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повторяемость которых составляет </w:t>
      </w:r>
      <w:r>
        <w:rPr>
          <w:rFonts w:ascii="Times New Roman" w:hAnsi="Times New Roman"/>
          <w:position w:val="-4"/>
          <w:sz w:val="20"/>
        </w:rPr>
        <w:pict>
          <v:shape id="_x0000_i1212" type="#_x0000_t75" style="width:9.75pt;height:12pt">
            <v:imagedata r:id="rId30" o:title=""/>
          </v:shape>
        </w:pict>
      </w:r>
      <w:r>
        <w:rPr>
          <w:rFonts w:ascii="Times New Roman" w:hAnsi="Times New Roman"/>
          <w:sz w:val="20"/>
        </w:rPr>
        <w:t xml:space="preserve"> 16%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V &gt; 8;  2 - 8 &gt; V &gt; 5;  3 - V &lt; 5 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213" type="#_x0000_t75" style="width:482.25pt;height:549.75pt">
            <v:imagedata r:id="rId39" o:title=""/>
          </v:shape>
        </w:pic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2.9. Схематическая карта распределения скорости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ветра за три зимних месяца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равно и более 5 м/с, 2 - менее 5 м/с </w:t>
      </w:r>
    </w:p>
    <w:p w:rsidR="00000000" w:rsidRDefault="00E74FE9">
      <w:pPr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Приложение 3 </w:t>
      </w: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 Расчет фундаментов, опирающихся на заторфованные  грунты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проектировании  фундаментов следует учитывать выполнение следующих условий: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F</w:t>
      </w:r>
      <w:r>
        <w:rPr>
          <w:rFonts w:ascii="Times New Roman" w:hAnsi="Times New Roman"/>
          <w:position w:val="-28"/>
          <w:sz w:val="20"/>
        </w:rPr>
        <w:pict>
          <v:shape id="_x0000_i1214" type="#_x0000_t75" style="width:45pt;height:33.75pt">
            <v:imagedata r:id="rId40" o:title=""/>
          </v:shape>
        </w:pict>
      </w:r>
      <w:r>
        <w:rPr>
          <w:rFonts w:ascii="Times New Roman" w:hAnsi="Times New Roman"/>
          <w:sz w:val="20"/>
        </w:rPr>
        <w:t xml:space="preserve">  S</w:t>
      </w:r>
      <w:r>
        <w:rPr>
          <w:rFonts w:ascii="Times New Roman" w:hAnsi="Times New Roman"/>
          <w:position w:val="-4"/>
          <w:sz w:val="20"/>
        </w:rPr>
        <w:pict>
          <v:shape id="_x0000_i1215" type="#_x0000_t75" style="width:9.75pt;height:12pt">
            <v:imagedata r:id="rId41" o:title=""/>
          </v:shape>
        </w:pic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position w:val="-10"/>
          <w:sz w:val="20"/>
        </w:rPr>
        <w:pict>
          <v:shape id="_x0000_i1216" type="#_x0000_t75" style="width:9pt;height:15.75pt">
            <v:imagedata r:id="rId42" o:title=""/>
          </v:shape>
        </w:pict>
      </w:r>
      <w:r>
        <w:rPr>
          <w:rFonts w:ascii="Times New Roman" w:hAnsi="Times New Roman"/>
          <w:sz w:val="20"/>
        </w:rPr>
        <w:t>,            (1)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 F - расчетная нагрузка на основание, кПа;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F</w:t>
      </w:r>
      <w:r>
        <w:rPr>
          <w:rFonts w:ascii="Times New Roman" w:hAnsi="Times New Roman"/>
          <w:position w:val="-10"/>
          <w:sz w:val="20"/>
        </w:rPr>
        <w:pict>
          <v:shape id="_x0000_i1217" type="#_x0000_t75" style="width:9pt;height:15.75pt">
            <v:imagedata r:id="rId42" o:title=""/>
          </v:shape>
        </w:pict>
      </w:r>
      <w:r>
        <w:rPr>
          <w:rFonts w:ascii="Times New Roman" w:hAnsi="Times New Roman"/>
          <w:sz w:val="20"/>
        </w:rPr>
        <w:t xml:space="preserve"> - сила предельного сопротивления</w:t>
      </w:r>
      <w:r>
        <w:rPr>
          <w:rFonts w:ascii="Times New Roman" w:hAnsi="Times New Roman"/>
          <w:sz w:val="20"/>
        </w:rPr>
        <w:t xml:space="preserve"> основания, кВ (тс);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0"/>
          <w:sz w:val="20"/>
        </w:rPr>
        <w:pict>
          <v:shape id="_x0000_i1218" type="#_x0000_t75" style="width:14.25pt;height:15.75pt">
            <v:imagedata r:id="rId43" o:title=""/>
          </v:shape>
        </w:pict>
      </w:r>
      <w:r>
        <w:rPr>
          <w:rFonts w:ascii="Times New Roman" w:hAnsi="Times New Roman"/>
          <w:sz w:val="20"/>
        </w:rPr>
        <w:t xml:space="preserve">и </w:t>
      </w:r>
      <w:r>
        <w:rPr>
          <w:rFonts w:ascii="Times New Roman" w:hAnsi="Times New Roman"/>
          <w:position w:val="-10"/>
          <w:sz w:val="20"/>
        </w:rPr>
        <w:pict>
          <v:shape id="_x0000_i1219" type="#_x0000_t75" style="width:15pt;height:15.75pt">
            <v:imagedata r:id="rId44" o:title=""/>
          </v:shape>
        </w:pict>
      </w:r>
      <w:r>
        <w:rPr>
          <w:rFonts w:ascii="Times New Roman" w:hAnsi="Times New Roman"/>
          <w:sz w:val="20"/>
        </w:rPr>
        <w:t xml:space="preserve"> - коэффициенты условий работы и надежности по назначению, принимаемые в соответствии с требованиями п. 2.57 СНиП 2.02.02-83;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 - совместная деформация оснований и сооружений, см;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position w:val="-10"/>
          <w:sz w:val="20"/>
        </w:rPr>
        <w:pict>
          <v:shape id="_x0000_i1220" type="#_x0000_t75" style="width:9pt;height:15.75pt">
            <v:imagedata r:id="rId42" o:title=""/>
          </v:shape>
        </w:pict>
      </w:r>
      <w:r>
        <w:rPr>
          <w:rFonts w:ascii="Times New Roman" w:hAnsi="Times New Roman"/>
          <w:sz w:val="20"/>
        </w:rPr>
        <w:t xml:space="preserve"> - предельное значение совместной деформации оснований и сооружения, см.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оба условия выполняются, то строительство зданий и сооружений осуществляется без дополнительных мероприятий по улучшению свойств грунтов оснований. Если одно из указанных условий  не выполняется, следует предусмотреть мероп</w:t>
      </w:r>
      <w:r>
        <w:rPr>
          <w:rFonts w:ascii="Times New Roman" w:hAnsi="Times New Roman"/>
          <w:sz w:val="20"/>
        </w:rPr>
        <w:t>риятия по улучшению свойств грунтов оснований.  В качестве таких мероприятий могут быть следующие: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- уплотнение грунтов трамбованием  и виброметодами;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- уплотнение грунтов пригрузкой слоем насыпного или намывного грунта.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Расчет величины осадки фундаментов на насыпных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 намывных грунтах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Осадка  основания определяется  по формуле: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 = S</w:t>
      </w:r>
      <w:r>
        <w:rPr>
          <w:rFonts w:ascii="Times New Roman" w:hAnsi="Times New Roman"/>
          <w:position w:val="-10"/>
          <w:sz w:val="20"/>
        </w:rPr>
        <w:pict>
          <v:shape id="_x0000_i1221" type="#_x0000_t75" style="width:9pt;height:15.75pt">
            <v:imagedata r:id="rId45" o:title=""/>
          </v:shape>
        </w:pict>
      </w:r>
      <w:r>
        <w:rPr>
          <w:rFonts w:ascii="Times New Roman" w:hAnsi="Times New Roman"/>
          <w:sz w:val="20"/>
        </w:rPr>
        <w:t>+ S</w:t>
      </w:r>
      <w:r>
        <w:rPr>
          <w:rFonts w:ascii="Times New Roman" w:hAnsi="Times New Roman"/>
          <w:position w:val="-10"/>
          <w:sz w:val="20"/>
        </w:rPr>
        <w:pict>
          <v:shape id="_x0000_i1222" type="#_x0000_t75" style="width:9pt;height:15.75pt">
            <v:imagedata r:id="rId46" o:title=""/>
          </v:shape>
        </w:pict>
      </w:r>
      <w:r>
        <w:rPr>
          <w:rFonts w:ascii="Times New Roman" w:hAnsi="Times New Roman"/>
          <w:sz w:val="20"/>
        </w:rPr>
        <w:t>,                       (2)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S</w:t>
      </w:r>
      <w:r>
        <w:rPr>
          <w:rFonts w:ascii="Times New Roman" w:hAnsi="Times New Roman"/>
          <w:position w:val="-10"/>
          <w:sz w:val="20"/>
        </w:rPr>
        <w:pict>
          <v:shape id="_x0000_i1223" type="#_x0000_t75" style="width:9pt;height:15.75pt">
            <v:imagedata r:id="rId47" o:title=""/>
          </v:shape>
        </w:pict>
      </w:r>
      <w:r>
        <w:rPr>
          <w:rFonts w:ascii="Times New Roman" w:hAnsi="Times New Roman"/>
          <w:sz w:val="20"/>
        </w:rPr>
        <w:t xml:space="preserve"> - осадка основания от действия загруженного фундамента в пределах сжимаемой толщи, см;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position w:val="-10"/>
          <w:sz w:val="20"/>
        </w:rPr>
        <w:pict>
          <v:shape id="_x0000_i1224" type="#_x0000_t75" style="width:9pt;height:15.75pt">
            <v:imagedata r:id="rId46" o:title=""/>
          </v:shape>
        </w:pict>
      </w:r>
      <w:r>
        <w:rPr>
          <w:rFonts w:ascii="Times New Roman" w:hAnsi="Times New Roman"/>
          <w:sz w:val="20"/>
        </w:rPr>
        <w:t xml:space="preserve"> - последующая осадка слабого </w:t>
      </w:r>
      <w:r>
        <w:rPr>
          <w:rFonts w:ascii="Times New Roman" w:hAnsi="Times New Roman"/>
          <w:sz w:val="20"/>
        </w:rPr>
        <w:t>подстилающего слоя вследствие его незавершенной к началу строительства консолидации под сплошной песчаной пригрузкой (м).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Значение S</w:t>
      </w:r>
      <w:r>
        <w:rPr>
          <w:rFonts w:ascii="Times New Roman" w:hAnsi="Times New Roman"/>
          <w:position w:val="-10"/>
          <w:sz w:val="20"/>
        </w:rPr>
        <w:pict>
          <v:shape id="_x0000_i1225" type="#_x0000_t75" style="width:9pt;height:15.75pt">
            <v:imagedata r:id="rId46" o:title=""/>
          </v:shape>
        </w:pict>
      </w:r>
      <w:r>
        <w:rPr>
          <w:rFonts w:ascii="Times New Roman" w:hAnsi="Times New Roman"/>
          <w:sz w:val="20"/>
        </w:rPr>
        <w:t xml:space="preserve"> определяют из выражения: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position w:val="-10"/>
          <w:sz w:val="20"/>
        </w:rPr>
        <w:pict>
          <v:shape id="_x0000_i1226" type="#_x0000_t75" style="width:9pt;height:15.75pt">
            <v:imagedata r:id="rId46" o:title=""/>
          </v:shape>
        </w:pict>
      </w:r>
      <w:r>
        <w:rPr>
          <w:rFonts w:ascii="Times New Roman" w:hAnsi="Times New Roman"/>
          <w:sz w:val="20"/>
        </w:rPr>
        <w:t xml:space="preserve"> = S</w:t>
      </w:r>
      <w:r>
        <w:rPr>
          <w:rFonts w:ascii="Times New Roman" w:hAnsi="Times New Roman"/>
          <w:position w:val="-10"/>
          <w:sz w:val="20"/>
        </w:rPr>
        <w:pict>
          <v:shape id="_x0000_i1227" type="#_x0000_t75" style="width:9.75pt;height:15.75pt">
            <v:imagedata r:id="rId48" o:title=""/>
          </v:shape>
        </w:pict>
      </w:r>
      <w:r>
        <w:rPr>
          <w:rFonts w:ascii="Times New Roman" w:hAnsi="Times New Roman"/>
          <w:sz w:val="20"/>
        </w:rPr>
        <w:t xml:space="preserve"> - S</w:t>
      </w:r>
      <w:r>
        <w:rPr>
          <w:rFonts w:ascii="Times New Roman" w:hAnsi="Times New Roman"/>
          <w:position w:val="-10"/>
          <w:sz w:val="20"/>
        </w:rPr>
        <w:pict>
          <v:shape id="_x0000_i1228" type="#_x0000_t75" style="width:9pt;height:15.75pt">
            <v:imagedata r:id="rId49" o:title=""/>
          </v:shape>
        </w:pict>
      </w:r>
      <w:r>
        <w:rPr>
          <w:rFonts w:ascii="Times New Roman" w:hAnsi="Times New Roman"/>
          <w:sz w:val="20"/>
        </w:rPr>
        <w:t>,             (3)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S</w:t>
      </w:r>
      <w:r>
        <w:rPr>
          <w:rFonts w:ascii="Times New Roman" w:hAnsi="Times New Roman"/>
          <w:position w:val="-10"/>
          <w:sz w:val="20"/>
        </w:rPr>
        <w:pict>
          <v:shape id="_x0000_i1229" type="#_x0000_t75" style="width:9.75pt;height:15.75pt">
            <v:imagedata r:id="rId48" o:title=""/>
          </v:shape>
        </w:pict>
      </w:r>
      <w:r>
        <w:rPr>
          <w:rFonts w:ascii="Times New Roman" w:hAnsi="Times New Roman"/>
          <w:sz w:val="20"/>
        </w:rPr>
        <w:t xml:space="preserve"> - стабилизированная осадка слабого слоя под сплошной песчаной пригрузкой;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position w:val="-10"/>
          <w:sz w:val="20"/>
        </w:rPr>
        <w:pict>
          <v:shape id="_x0000_i1230" type="#_x0000_t75" style="width:9pt;height:15.75pt">
            <v:imagedata r:id="rId49" o:title=""/>
          </v:shape>
        </w:pict>
      </w:r>
      <w:r>
        <w:rPr>
          <w:rFonts w:ascii="Times New Roman" w:hAnsi="Times New Roman"/>
          <w:sz w:val="20"/>
        </w:rPr>
        <w:t xml:space="preserve"> - осадка слабого подстилающего слоя под сплошной песчаной пригрузкой (м), происшедшая за  время t (сут) до начала строительства и определяемая по формуле: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position w:val="-10"/>
          <w:sz w:val="20"/>
        </w:rPr>
        <w:pict>
          <v:shape id="_x0000_i1231" type="#_x0000_t75" style="width:9pt;height:15.75pt">
            <v:imagedata r:id="rId49" o:title=""/>
          </v:shape>
        </w:pict>
      </w:r>
      <w:r>
        <w:rPr>
          <w:rFonts w:ascii="Times New Roman" w:hAnsi="Times New Roman"/>
          <w:sz w:val="20"/>
        </w:rPr>
        <w:t>= Q</w:t>
      </w:r>
      <w:r>
        <w:rPr>
          <w:rFonts w:ascii="Times New Roman" w:hAnsi="Times New Roman"/>
          <w:position w:val="-10"/>
          <w:sz w:val="20"/>
        </w:rPr>
        <w:pict>
          <v:shape id="_x0000_i1232" type="#_x0000_t75" style="width:9pt;height:15.75pt">
            <v:imagedata r:id="rId49" o:title=""/>
          </v:shape>
        </w:pict>
      </w:r>
      <w:r>
        <w:rPr>
          <w:rFonts w:ascii="Times New Roman" w:hAnsi="Times New Roman"/>
          <w:sz w:val="20"/>
        </w:rPr>
        <w:t>· S</w:t>
      </w:r>
      <w:r>
        <w:rPr>
          <w:rFonts w:ascii="Times New Roman" w:hAnsi="Times New Roman"/>
          <w:position w:val="-10"/>
          <w:sz w:val="20"/>
        </w:rPr>
        <w:pict>
          <v:shape id="_x0000_i1233" type="#_x0000_t75" style="width:9.75pt;height:15.75pt">
            <v:imagedata r:id="rId48" o:title=""/>
          </v:shape>
        </w:pict>
      </w:r>
      <w:r>
        <w:rPr>
          <w:rFonts w:ascii="Times New Roman" w:hAnsi="Times New Roman"/>
          <w:sz w:val="20"/>
        </w:rPr>
        <w:t xml:space="preserve">                     (4)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Q</w:t>
      </w:r>
      <w:r>
        <w:rPr>
          <w:rFonts w:ascii="Times New Roman" w:hAnsi="Times New Roman"/>
          <w:position w:val="-10"/>
          <w:sz w:val="20"/>
        </w:rPr>
        <w:pict>
          <v:shape id="_x0000_i1234" type="#_x0000_t75" style="width:9pt;height:15.75pt">
            <v:imagedata r:id="rId49" o:title=""/>
          </v:shape>
        </w:pict>
      </w:r>
      <w:r>
        <w:rPr>
          <w:rFonts w:ascii="Times New Roman" w:hAnsi="Times New Roman"/>
          <w:sz w:val="20"/>
        </w:rPr>
        <w:t xml:space="preserve"> - степень консолидации за время t.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</w:t>
      </w:r>
      <w:r>
        <w:rPr>
          <w:rFonts w:ascii="Times New Roman" w:hAnsi="Times New Roman"/>
          <w:sz w:val="20"/>
        </w:rPr>
        <w:t>определении осадки S</w:t>
      </w:r>
      <w:r>
        <w:rPr>
          <w:rFonts w:ascii="Times New Roman" w:hAnsi="Times New Roman"/>
          <w:position w:val="-10"/>
          <w:sz w:val="20"/>
        </w:rPr>
        <w:pict>
          <v:shape id="_x0000_i1235" type="#_x0000_t75" style="width:9pt;height:15.75pt">
            <v:imagedata r:id="rId49" o:title=""/>
          </v:shape>
        </w:pict>
      </w:r>
      <w:r>
        <w:rPr>
          <w:rFonts w:ascii="Times New Roman" w:hAnsi="Times New Roman"/>
          <w:sz w:val="20"/>
        </w:rPr>
        <w:t xml:space="preserve"> фундамента слабые подстилающие слои включаются в сжимаемую толщу. В случае их незавершенной консолидации до начала строительства вертикальные нормальные напряжения, используемые  в методе послойного суммирования при расчете осадок, принимаются  без вычета природного давления.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 осадки основания при толщине верхнего песчаного слоя не менее 4 в (где в - ширина фундамента) следует производить от нагрузки, распределенной по площади застройки и полученной путем деления массы здания на</w:t>
      </w:r>
      <w:r>
        <w:rPr>
          <w:rFonts w:ascii="Times New Roman" w:hAnsi="Times New Roman"/>
          <w:sz w:val="20"/>
        </w:rPr>
        <w:t xml:space="preserve"> площадь, ограниченную контуром наружных граней фундаментов  в случаях, когда отношение площади фундаментов к площади застройки здания больше 0,3 и  фактическая глубина залегания кровли несжимаемого грунта больше глубины сжимаемой толщи, определенной по СНиП  2.02.01-83 для нагруженного фундамента.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Выбор принципа использования  вечномерзлых грунтов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качестве основания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выборе принципа использования вечномерзлых  грунтов в качестве основания следует исходить из правила: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принцип II применяется п</w:t>
      </w:r>
      <w:r>
        <w:rPr>
          <w:rFonts w:ascii="Times New Roman" w:hAnsi="Times New Roman"/>
          <w:sz w:val="20"/>
        </w:rPr>
        <w:t>ри выполнении одного из следующих условий (5)...(7). В остальных случаях применяется принцип I (на участках с вечномерзлыми  грунтами несливающегося типа принцип I реализуется с предварительным промораживанием  талого слоя).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position w:val="-10"/>
          <w:sz w:val="20"/>
        </w:rPr>
        <w:pict>
          <v:shape id="_x0000_i1236" type="#_x0000_t75" style="width:23.25pt;height:15.75pt">
            <v:imagedata r:id="rId50" o:title=""/>
          </v:shape>
        </w:pic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position w:val="-13"/>
          <w:sz w:val="20"/>
        </w:rPr>
        <w:pict>
          <v:shape id="_x0000_i1237" type="#_x0000_t75" style="width:12.75pt;height:18pt">
            <v:imagedata r:id="rId51" o:title=""/>
          </v:shape>
        </w:pict>
      </w:r>
      <w:r>
        <w:rPr>
          <w:rFonts w:ascii="Times New Roman" w:hAnsi="Times New Roman"/>
          <w:sz w:val="20"/>
        </w:rPr>
        <w:t xml:space="preserve">              (5)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position w:val="-10"/>
          <w:sz w:val="20"/>
        </w:rPr>
        <w:pict>
          <v:shape id="_x0000_i1238" type="#_x0000_t75" style="width:9pt;height:15.75pt">
            <v:imagedata r:id="rId16" o:title=""/>
          </v:shape>
        </w:pict>
      </w:r>
      <w:r>
        <w:rPr>
          <w:rFonts w:ascii="Times New Roman" w:hAnsi="Times New Roman"/>
          <w:sz w:val="20"/>
        </w:rPr>
        <w:t>&lt; 0,4   и    Н</w:t>
      </w:r>
      <w:r>
        <w:rPr>
          <w:rFonts w:ascii="Times New Roman" w:hAnsi="Times New Roman"/>
          <w:position w:val="-10"/>
          <w:sz w:val="20"/>
        </w:rPr>
        <w:pict>
          <v:shape id="_x0000_i1239" type="#_x0000_t75" style="width:21pt;height:15.75pt">
            <v:imagedata r:id="rId52" o:title=""/>
          </v:shape>
        </w:pic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position w:val="-13"/>
          <w:sz w:val="20"/>
        </w:rPr>
        <w:pict>
          <v:shape id="_x0000_i1240" type="#_x0000_t75" style="width:9pt;height:18pt">
            <v:imagedata r:id="rId53" o:title=""/>
          </v:shape>
        </w:pict>
      </w:r>
      <w:r>
        <w:rPr>
          <w:rFonts w:ascii="Times New Roman" w:hAnsi="Times New Roman"/>
          <w:sz w:val="20"/>
        </w:rPr>
        <w:t>,                 (6)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position w:val="-10"/>
          <w:sz w:val="20"/>
        </w:rPr>
        <w:pict>
          <v:shape id="_x0000_i1241" type="#_x0000_t75" style="width:9pt;height:15.75pt">
            <v:imagedata r:id="rId16" o:title=""/>
          </v:shape>
        </w:pict>
      </w:r>
      <w:r>
        <w:rPr>
          <w:rFonts w:ascii="Times New Roman" w:hAnsi="Times New Roman"/>
          <w:sz w:val="20"/>
        </w:rPr>
        <w:t>&lt; 0,4   и    Н</w:t>
      </w:r>
      <w:r>
        <w:rPr>
          <w:rFonts w:ascii="Times New Roman" w:hAnsi="Times New Roman"/>
          <w:position w:val="-10"/>
          <w:sz w:val="20"/>
        </w:rPr>
        <w:pict>
          <v:shape id="_x0000_i1242" type="#_x0000_t75" style="width:17.25pt;height:15.75pt">
            <v:imagedata r:id="rId54" o:title=""/>
          </v:shape>
        </w:pict>
      </w:r>
      <w:r>
        <w:rPr>
          <w:rFonts w:ascii="Times New Roman" w:hAnsi="Times New Roman"/>
          <w:sz w:val="20"/>
        </w:rPr>
        <w:t>10 м,                 (7)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Н</w:t>
      </w:r>
      <w:r>
        <w:rPr>
          <w:rFonts w:ascii="Times New Roman" w:hAnsi="Times New Roman"/>
          <w:position w:val="-10"/>
          <w:sz w:val="20"/>
        </w:rPr>
        <w:pict>
          <v:shape id="_x0000_i1243" type="#_x0000_t75" style="width:14.25pt;height:15.75pt">
            <v:imagedata r:id="rId55" o:title=""/>
          </v:shape>
        </w:pict>
      </w:r>
      <w:r>
        <w:rPr>
          <w:rFonts w:ascii="Times New Roman" w:hAnsi="Times New Roman"/>
          <w:sz w:val="20"/>
        </w:rPr>
        <w:t xml:space="preserve"> - мощность  мерзлых грунтов в основании здания, сооружения или глубина залегания кровли монолитных скальных и полускальных пород в м, определяется по данным изысканий;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position w:val="-10"/>
          <w:sz w:val="20"/>
        </w:rPr>
        <w:pict>
          <v:shape id="_x0000_i1244" type="#_x0000_t75" style="width:9pt;height:15.75pt">
            <v:imagedata r:id="rId56" o:title=""/>
          </v:shape>
        </w:pict>
      </w:r>
      <w:r>
        <w:rPr>
          <w:rFonts w:ascii="Times New Roman" w:hAnsi="Times New Roman"/>
          <w:sz w:val="20"/>
        </w:rPr>
        <w:t xml:space="preserve">  - глубина залегания кровли вечномерзлых грунтов в м в естественных  условиях  (на участках с вечномерзлыми грунтами  сливающегося типа принимается Н</w:t>
      </w:r>
      <w:r>
        <w:rPr>
          <w:rFonts w:ascii="Times New Roman" w:hAnsi="Times New Roman"/>
          <w:position w:val="-10"/>
          <w:sz w:val="20"/>
        </w:rPr>
        <w:pict>
          <v:shape id="_x0000_i1245" type="#_x0000_t75" style="width:9pt;height:15.75pt">
            <v:imagedata r:id="rId56" o:title=""/>
          </v:shape>
        </w:pict>
      </w:r>
      <w:r>
        <w:rPr>
          <w:rFonts w:ascii="Times New Roman" w:hAnsi="Times New Roman"/>
          <w:sz w:val="20"/>
        </w:rPr>
        <w:t xml:space="preserve">= 0), определяется по данным изысканий;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position w:val="-10"/>
          <w:sz w:val="20"/>
        </w:rPr>
        <w:pict>
          <v:shape id="_x0000_i1246" type="#_x0000_t75" style="width:12.75pt;height:15.75pt">
            <v:imagedata r:id="rId57" o:title=""/>
          </v:shape>
        </w:pict>
      </w:r>
      <w:r>
        <w:rPr>
          <w:rFonts w:ascii="Times New Roman" w:hAnsi="Times New Roman"/>
          <w:sz w:val="20"/>
        </w:rPr>
        <w:t xml:space="preserve"> -  глубина предварительного оттаивания вечномерзлого грунта в основании здания,  сооружения в м,  определяется по  указаниям приложения 3; расчет 6;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position w:val="-13"/>
          <w:sz w:val="20"/>
        </w:rPr>
        <w:pict>
          <v:shape id="_x0000_i1247" type="#_x0000_t75" style="width:9pt;height:18pt">
            <v:imagedata r:id="rId53" o:title=""/>
          </v:shape>
        </w:pict>
      </w:r>
      <w:r>
        <w:rPr>
          <w:rFonts w:ascii="Times New Roman" w:hAnsi="Times New Roman"/>
          <w:sz w:val="20"/>
        </w:rPr>
        <w:t xml:space="preserve"> - условная глубина оттаивания в м, определимая по формуле (8);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Л</w:t>
      </w:r>
      <w:r>
        <w:rPr>
          <w:rFonts w:ascii="Times New Roman" w:hAnsi="Times New Roman"/>
          <w:position w:val="-10"/>
          <w:sz w:val="20"/>
        </w:rPr>
        <w:pict>
          <v:shape id="_x0000_i1248" type="#_x0000_t75" style="width:9pt;height:15.75pt">
            <v:imagedata r:id="rId16" o:title=""/>
          </v:shape>
        </w:pict>
      </w:r>
      <w:r>
        <w:rPr>
          <w:rFonts w:ascii="Times New Roman" w:hAnsi="Times New Roman"/>
          <w:sz w:val="20"/>
        </w:rPr>
        <w:t xml:space="preserve"> - льдистость грунта за счет ледяных включений, в долях единицы, определяется по данным изыскан</w:t>
      </w:r>
      <w:r>
        <w:rPr>
          <w:rFonts w:ascii="Times New Roman" w:hAnsi="Times New Roman"/>
          <w:sz w:val="20"/>
        </w:rPr>
        <w:t>ий: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position w:val="-13"/>
          <w:sz w:val="20"/>
        </w:rPr>
        <w:pict>
          <v:shape id="_x0000_i1249" type="#_x0000_t75" style="width:9pt;height:18pt">
            <v:imagedata r:id="rId53" o:title=""/>
          </v:shape>
        </w:pict>
      </w:r>
      <w:r>
        <w:rPr>
          <w:rFonts w:ascii="Times New Roman" w:hAnsi="Times New Roman"/>
          <w:sz w:val="20"/>
        </w:rPr>
        <w:t xml:space="preserve">= В (-0,5 + </w:t>
      </w:r>
      <w:r>
        <w:rPr>
          <w:rFonts w:ascii="Times New Roman" w:hAnsi="Times New Roman"/>
          <w:position w:val="-30"/>
          <w:sz w:val="20"/>
        </w:rPr>
        <w:pict>
          <v:shape id="_x0000_i1250" type="#_x0000_t75" style="width:168pt;height:42.75pt">
            <v:imagedata r:id="rId58" o:title=""/>
          </v:shape>
        </w:pict>
      </w:r>
      <w:r>
        <w:rPr>
          <w:rFonts w:ascii="Times New Roman" w:hAnsi="Times New Roman"/>
          <w:sz w:val="20"/>
        </w:rPr>
        <w:t xml:space="preserve">         (8)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С</w:t>
      </w:r>
      <w:r>
        <w:rPr>
          <w:rFonts w:ascii="Times New Roman" w:hAnsi="Times New Roman"/>
          <w:position w:val="-13"/>
          <w:sz w:val="20"/>
        </w:rPr>
        <w:pict>
          <v:shape id="_x0000_i1251" type="#_x0000_t75" style="width:9.75pt;height:21.75pt">
            <v:imagedata r:id="rId59" o:title=""/>
          </v:shape>
        </w:pict>
      </w:r>
      <w:r>
        <w:rPr>
          <w:rFonts w:ascii="Times New Roman" w:hAnsi="Times New Roman"/>
          <w:sz w:val="20"/>
        </w:rPr>
        <w:t>, С</w:t>
      </w:r>
      <w:r>
        <w:rPr>
          <w:rFonts w:ascii="Times New Roman" w:hAnsi="Times New Roman"/>
          <w:position w:val="-13"/>
          <w:sz w:val="20"/>
        </w:rPr>
        <w:pict>
          <v:shape id="_x0000_i1252" type="#_x0000_t75" style="width:9.75pt;height:21.75pt">
            <v:imagedata r:id="rId60" o:title=""/>
          </v:shape>
        </w:pict>
      </w:r>
      <w:r>
        <w:rPr>
          <w:rFonts w:ascii="Times New Roman" w:hAnsi="Times New Roman"/>
          <w:sz w:val="20"/>
        </w:rPr>
        <w:t xml:space="preserve"> - стоимость фундамента в мерзлом и талом грунте, отнесенная к кв. метру пятна здания или сооружения, руб./м</w:t>
      </w:r>
      <w:r>
        <w:rPr>
          <w:rFonts w:ascii="Times New Roman" w:hAnsi="Times New Roman"/>
          <w:position w:val="-4"/>
          <w:sz w:val="20"/>
        </w:rPr>
        <w:pict>
          <v:shape id="_x0000_i1253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position w:val="-10"/>
          <w:sz w:val="20"/>
        </w:rPr>
        <w:pict>
          <v:shape id="_x0000_i1254" type="#_x0000_t75" style="width:12.75pt;height:15.75pt">
            <v:imagedata r:id="rId61" o:title=""/>
          </v:shape>
        </w:pict>
      </w:r>
      <w:r>
        <w:rPr>
          <w:rFonts w:ascii="Times New Roman" w:hAnsi="Times New Roman"/>
          <w:sz w:val="20"/>
        </w:rPr>
        <w:t xml:space="preserve"> - стоимость охлаждающего устройства (например, вентилируемого подполья), отнесенная к кв. метру пятна здания или сооружения, руб./м</w:t>
      </w:r>
      <w:r>
        <w:rPr>
          <w:rFonts w:ascii="Times New Roman" w:hAnsi="Times New Roman"/>
          <w:position w:val="-4"/>
          <w:sz w:val="20"/>
        </w:rPr>
        <w:pict>
          <v:shape id="_x0000_i1255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position w:val="-13"/>
          <w:sz w:val="20"/>
        </w:rPr>
        <w:pict>
          <v:shape id="_x0000_i1256" type="#_x0000_t75" style="width:12.75pt;height:18pt">
            <v:imagedata r:id="rId62" o:title=""/>
          </v:shape>
        </w:pict>
      </w:r>
      <w:r>
        <w:rPr>
          <w:rFonts w:ascii="Times New Roman" w:hAnsi="Times New Roman"/>
          <w:sz w:val="20"/>
        </w:rPr>
        <w:t xml:space="preserve"> , С</w:t>
      </w:r>
      <w:r>
        <w:rPr>
          <w:rFonts w:ascii="Times New Roman" w:hAnsi="Times New Roman"/>
          <w:position w:val="-10"/>
          <w:sz w:val="20"/>
        </w:rPr>
        <w:pict>
          <v:shape id="_x0000_i1257" type="#_x0000_t75" style="width:12.75pt;height:15.75pt">
            <v:imagedata r:id="rId57" o:title=""/>
          </v:shape>
        </w:pict>
      </w:r>
      <w:r>
        <w:rPr>
          <w:rFonts w:ascii="Times New Roman" w:hAnsi="Times New Roman"/>
          <w:sz w:val="20"/>
        </w:rPr>
        <w:t xml:space="preserve"> - стоимость предварительного промораживания и оттаивания одного куб. метра грунта, руб./м</w:t>
      </w:r>
      <w:r>
        <w:rPr>
          <w:rFonts w:ascii="Times New Roman" w:hAnsi="Times New Roman"/>
          <w:position w:val="-4"/>
          <w:sz w:val="20"/>
        </w:rPr>
        <w:pict>
          <v:shape id="_x0000_i1258" type="#_x0000_t75" style="width:9pt;height:17.25pt">
            <v:imagedata r:id="rId26" o:title=""/>
          </v:shape>
        </w:pict>
      </w:r>
      <w:r>
        <w:rPr>
          <w:rFonts w:ascii="Times New Roman" w:hAnsi="Times New Roman"/>
          <w:sz w:val="20"/>
        </w:rPr>
        <w:t>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- ширина здания или сооружения в м (стоимостные показатели принимаются по существующим в районе строительства анало</w:t>
      </w:r>
      <w:r>
        <w:rPr>
          <w:rFonts w:ascii="Times New Roman" w:hAnsi="Times New Roman"/>
          <w:sz w:val="20"/>
        </w:rPr>
        <w:t xml:space="preserve">гам).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Проверка условий (5) - (7) осуществляется с соблюдением приоритета, который убывает с возрастанием номера  условия.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выполнении условия (5) принимается принцип II с предварительным оттаиванием вечномерзлых грунтов на глубину Н</w:t>
      </w:r>
      <w:r>
        <w:rPr>
          <w:rFonts w:ascii="Times New Roman" w:hAnsi="Times New Roman"/>
          <w:position w:val="-10"/>
          <w:sz w:val="20"/>
        </w:rPr>
        <w:pict>
          <v:shape id="_x0000_i1259" type="#_x0000_t75" style="width:14.25pt;height:15.75pt">
            <v:imagedata r:id="rId55" o:title=""/>
          </v:shape>
        </w:pict>
      </w:r>
      <w:r>
        <w:rPr>
          <w:rFonts w:ascii="Times New Roman" w:hAnsi="Times New Roman"/>
          <w:sz w:val="20"/>
        </w:rPr>
        <w:t>; при выполнении условия (6) - принцип II с приспособлением конструкции  здания к восприятию  повышенной деформации, если H</w:t>
      </w:r>
      <w:r>
        <w:rPr>
          <w:rFonts w:ascii="Times New Roman" w:hAnsi="Times New Roman"/>
          <w:position w:val="-10"/>
          <w:sz w:val="20"/>
        </w:rPr>
        <w:pict>
          <v:shape id="_x0000_i1260" type="#_x0000_t75" style="width:21pt;height:15.75pt">
            <v:imagedata r:id="rId52" o:title=""/>
          </v:shape>
        </w:pict>
      </w:r>
      <w:r>
        <w:rPr>
          <w:rFonts w:ascii="Times New Roman" w:hAnsi="Times New Roman"/>
          <w:sz w:val="20"/>
        </w:rPr>
        <w:t xml:space="preserve"> Н</w:t>
      </w:r>
      <w:r>
        <w:rPr>
          <w:rFonts w:ascii="Times New Roman" w:hAnsi="Times New Roman"/>
          <w:position w:val="-10"/>
          <w:sz w:val="20"/>
        </w:rPr>
        <w:pict>
          <v:shape id="_x0000_i1261" type="#_x0000_t75" style="width:9pt;height:15.75pt">
            <v:imagedata r:id="rId56" o:title=""/>
          </v:shape>
        </w:pict>
      </w:r>
      <w:r>
        <w:rPr>
          <w:rFonts w:ascii="Times New Roman" w:hAnsi="Times New Roman"/>
          <w:sz w:val="20"/>
        </w:rPr>
        <w:t>, и с предварительным оттаиванием вечномерзлых грунтов на глубину Н</w:t>
      </w:r>
      <w:r>
        <w:rPr>
          <w:rFonts w:ascii="Times New Roman" w:hAnsi="Times New Roman"/>
          <w:position w:val="-10"/>
          <w:sz w:val="20"/>
        </w:rPr>
        <w:pict>
          <v:shape id="_x0000_i1262" type="#_x0000_t75" style="width:12.75pt;height:15.75pt">
            <v:imagedata r:id="rId57" o:title=""/>
          </v:shape>
        </w:pict>
      </w:r>
      <w:r>
        <w:rPr>
          <w:rFonts w:ascii="Times New Roman" w:hAnsi="Times New Roman"/>
          <w:sz w:val="20"/>
        </w:rPr>
        <w:t xml:space="preserve"> в остальных случаях; при выполнении условия (7) - принцип II со стабилизацией</w:t>
      </w:r>
      <w:r>
        <w:rPr>
          <w:rFonts w:ascii="Times New Roman" w:hAnsi="Times New Roman"/>
          <w:sz w:val="20"/>
        </w:rPr>
        <w:t xml:space="preserve"> верхней поверхности вечномерзлых грунтов.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Поиск оптимального решения  следует осуществлять применительно к первичному элементу застройки (одного или группы сблокированных зданий или сооружений), в пределах которого должен осуществляться единый принцип использования вечномерзлых  грунтов в качестве основания. Если по мерзлотно-геологическим условиям в пределах одного первичного элемента возможна реализация двух принципов, то выбирается тот, который соответствует минимуму затрат при его реализации в предела</w:t>
      </w:r>
      <w:r>
        <w:rPr>
          <w:rFonts w:ascii="Times New Roman" w:hAnsi="Times New Roman"/>
          <w:sz w:val="20"/>
        </w:rPr>
        <w:t xml:space="preserve">х всего первичного элемента.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Первичные элементы застройки, возводимые по принципу I и способу стабилизации, должны быть отделены от первичных  элементов, возводимых по принципу II, полосой безопасности, обеспечивающей тепловую защиту оснований от взаимного влияния зданий и сооружений. Ширина полосы безопасности определяется расчетом (см. расчет 1 и рис. 1 настоящего приложения).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расчетная ширина полосы безопасности не может быть обеспечена, например, по архитектурно-планировочным  соображениям,  то</w:t>
      </w:r>
      <w:r>
        <w:rPr>
          <w:rFonts w:ascii="Times New Roman" w:hAnsi="Times New Roman"/>
          <w:sz w:val="20"/>
        </w:rPr>
        <w:t xml:space="preserve"> производится объединение смежных первичных элементов в один общий, для которого затем находится единый принцип использования вечномерзлых грунтов в качестве основания.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Примечание:  подземная прокладка в пределах полосы безопасности тепловыделяющих трубопроводов не допускается.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Линейные сооружения допускается проектировать с применением на отдельных участках разных принципов использования вечномерзлых грунтов в качестве основания при условии принятия мер, обеспечивающих нормальную работу сооружения в мест</w:t>
      </w:r>
      <w:r>
        <w:rPr>
          <w:rFonts w:ascii="Times New Roman" w:hAnsi="Times New Roman"/>
          <w:sz w:val="20"/>
        </w:rPr>
        <w:t xml:space="preserve">ах перехода от участка с одним принципом использования вечномерзлых  грунтов в качестве оснований к участку с другим принципом; последнее достигается путем приспособления конструкций сооружения к неравномерной деформации основания или путем соответствующей подготовки основания в местах  перехода, устраняющей возможность превышения деформаций, допускаемых для данных сооружений.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 Расчеты ширины полосы безопасности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Ширина полосы безопасности вычисляется по формуле: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r = H</w:t>
      </w:r>
      <w:r>
        <w:rPr>
          <w:rFonts w:ascii="Times New Roman" w:hAnsi="Times New Roman"/>
          <w:position w:val="-13"/>
          <w:sz w:val="20"/>
        </w:rPr>
        <w:pict>
          <v:shape id="_x0000_i1263" type="#_x0000_t75" style="width:9.75pt;height:18pt">
            <v:imagedata r:id="rId63" o:title=""/>
          </v:shape>
        </w:pict>
      </w:r>
      <w:r>
        <w:rPr>
          <w:rFonts w:ascii="Times New Roman" w:hAnsi="Times New Roman"/>
          <w:sz w:val="20"/>
        </w:rPr>
        <w:t>· R                     (9)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</w:t>
      </w:r>
      <w:r>
        <w:rPr>
          <w:rFonts w:ascii="Times New Roman" w:hAnsi="Times New Roman"/>
          <w:sz w:val="20"/>
        </w:rPr>
        <w:t>де r - ширина полосы безопасности, в м;</w:t>
      </w:r>
    </w:p>
    <w:p w:rsidR="00000000" w:rsidRDefault="00E74F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E74F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Н</w:t>
      </w:r>
      <w:r>
        <w:rPr>
          <w:rFonts w:ascii="Times New Roman" w:hAnsi="Times New Roman"/>
          <w:position w:val="-13"/>
          <w:sz w:val="20"/>
        </w:rPr>
        <w:pict>
          <v:shape id="_x0000_i1264" type="#_x0000_t75" style="width:9.75pt;height:18pt">
            <v:imagedata r:id="rId63" o:title=""/>
          </v:shape>
        </w:pict>
      </w:r>
      <w:r>
        <w:rPr>
          <w:rFonts w:ascii="Times New Roman" w:hAnsi="Times New Roman"/>
          <w:sz w:val="20"/>
        </w:rPr>
        <w:t xml:space="preserve"> - глубина заложения фундаментов, в м;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R - параметр, определяемый по номограмме, на рис. 3.1.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Входные параметры номограммы: q</w:t>
      </w:r>
      <w:r>
        <w:rPr>
          <w:rFonts w:ascii="Times New Roman" w:hAnsi="Times New Roman"/>
          <w:position w:val="-10"/>
          <w:sz w:val="20"/>
        </w:rPr>
        <w:pict>
          <v:shape id="_x0000_i1265" type="#_x0000_t75" style="width:9pt;height:15.75pt">
            <v:imagedata r:id="rId45" o:title=""/>
          </v:shape>
        </w:pict>
      </w:r>
      <w:r>
        <w:rPr>
          <w:rFonts w:ascii="Times New Roman" w:hAnsi="Times New Roman"/>
          <w:sz w:val="20"/>
        </w:rPr>
        <w:t>, q</w:t>
      </w:r>
      <w:r>
        <w:rPr>
          <w:rFonts w:ascii="Times New Roman" w:hAnsi="Times New Roman"/>
          <w:position w:val="-10"/>
          <w:sz w:val="20"/>
        </w:rPr>
        <w:pict>
          <v:shape id="_x0000_i1266" type="#_x0000_t75" style="width:9pt;height:15.75pt">
            <v:imagedata r:id="rId46" o:title=""/>
          </v:shape>
        </w:pict>
      </w:r>
      <w:r>
        <w:rPr>
          <w:rFonts w:ascii="Times New Roman" w:hAnsi="Times New Roman"/>
          <w:sz w:val="20"/>
        </w:rPr>
        <w:t>, В</w:t>
      </w:r>
      <w:r>
        <w:rPr>
          <w:rFonts w:ascii="Times New Roman" w:hAnsi="Times New Roman"/>
          <w:position w:val="-10"/>
          <w:sz w:val="20"/>
        </w:rPr>
        <w:pict>
          <v:shape id="_x0000_i1267" type="#_x0000_t75" style="width:9pt;height:15.75pt">
            <v:imagedata r:id="rId19" o:title=""/>
          </v:shape>
        </w:pict>
      </w:r>
      <w:r>
        <w:rPr>
          <w:rFonts w:ascii="Times New Roman" w:hAnsi="Times New Roman"/>
          <w:sz w:val="20"/>
        </w:rPr>
        <w:t xml:space="preserve">  определяются по формулам  (10)...(12)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q</w:t>
      </w:r>
      <w:r>
        <w:rPr>
          <w:rFonts w:ascii="Times New Roman" w:hAnsi="Times New Roman"/>
          <w:position w:val="-10"/>
          <w:sz w:val="20"/>
        </w:rPr>
        <w:pict>
          <v:shape id="_x0000_i1268" type="#_x0000_t75" style="width:9pt;height:15.75pt">
            <v:imagedata r:id="rId45" o:title=""/>
          </v:shape>
        </w:pic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position w:val="-28"/>
          <w:sz w:val="20"/>
        </w:rPr>
        <w:pict>
          <v:shape id="_x0000_i1269" type="#_x0000_t75" style="width:48pt;height:36pt">
            <v:imagedata r:id="rId64" o:title=""/>
          </v:shape>
        </w:pict>
      </w:r>
      <w:r>
        <w:rPr>
          <w:rFonts w:ascii="Times New Roman" w:hAnsi="Times New Roman"/>
          <w:sz w:val="20"/>
        </w:rPr>
        <w:t>;      (10)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q</w:t>
      </w:r>
      <w:r>
        <w:rPr>
          <w:rFonts w:ascii="Times New Roman" w:hAnsi="Times New Roman"/>
          <w:position w:val="-10"/>
          <w:sz w:val="20"/>
        </w:rPr>
        <w:pict>
          <v:shape id="_x0000_i1270" type="#_x0000_t75" style="width:9pt;height:15.75pt">
            <v:imagedata r:id="rId46" o:title=""/>
          </v:shape>
        </w:pic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position w:val="-28"/>
          <w:sz w:val="20"/>
        </w:rPr>
        <w:pict>
          <v:shape id="_x0000_i1271" type="#_x0000_t75" style="width:92.25pt;height:36pt">
            <v:imagedata r:id="rId65" o:title=""/>
          </v:shape>
        </w:pict>
      </w:r>
      <w:r>
        <w:rPr>
          <w:rFonts w:ascii="Times New Roman" w:hAnsi="Times New Roman"/>
          <w:sz w:val="20"/>
        </w:rPr>
        <w:t xml:space="preserve">           (11)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position w:val="-10"/>
          <w:sz w:val="20"/>
        </w:rPr>
        <w:pict>
          <v:shape id="_x0000_i1272" type="#_x0000_t75" style="width:9pt;height:15.75pt">
            <v:imagedata r:id="rId19" o:title=""/>
          </v:shape>
        </w:pict>
      </w:r>
      <w:r>
        <w:rPr>
          <w:rFonts w:ascii="Times New Roman" w:hAnsi="Times New Roman"/>
          <w:sz w:val="20"/>
        </w:rPr>
        <w:t>= В/Н</w:t>
      </w:r>
      <w:r>
        <w:rPr>
          <w:rFonts w:ascii="Times New Roman" w:hAnsi="Times New Roman"/>
          <w:position w:val="-13"/>
          <w:sz w:val="20"/>
        </w:rPr>
        <w:pict>
          <v:shape id="_x0000_i1273" type="#_x0000_t75" style="width:9.75pt;height:18pt">
            <v:imagedata r:id="rId63" o:title=""/>
          </v:shape>
        </w:pict>
      </w:r>
      <w:r>
        <w:rPr>
          <w:rFonts w:ascii="Times New Roman" w:hAnsi="Times New Roman"/>
          <w:sz w:val="20"/>
        </w:rPr>
        <w:t>,             (12)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t</w:t>
      </w:r>
      <w:r>
        <w:rPr>
          <w:rFonts w:ascii="Times New Roman" w:hAnsi="Times New Roman"/>
          <w:position w:val="-10"/>
          <w:sz w:val="20"/>
        </w:rPr>
        <w:pict>
          <v:shape id="_x0000_i1274" type="#_x0000_t75" style="width:12pt;height:15.75pt">
            <v:imagedata r:id="rId66" o:title=""/>
          </v:shape>
        </w:pict>
      </w:r>
      <w:r>
        <w:rPr>
          <w:rFonts w:ascii="Times New Roman" w:hAnsi="Times New Roman"/>
          <w:sz w:val="20"/>
        </w:rPr>
        <w:t xml:space="preserve"> - температура поверхности грунта под ближайшим к полосе безопасности зданием или сооружением, возводимым по принципу II, °C; t</w:t>
      </w:r>
      <w:r>
        <w:rPr>
          <w:rFonts w:ascii="Times New Roman" w:hAnsi="Times New Roman"/>
          <w:position w:val="-10"/>
          <w:sz w:val="20"/>
        </w:rPr>
        <w:pict>
          <v:shape id="_x0000_i1275" type="#_x0000_t75" style="width:12.75pt;height:15.75pt">
            <v:imagedata r:id="rId67" o:title=""/>
          </v:shape>
        </w:pict>
      </w:r>
      <w:r>
        <w:rPr>
          <w:rFonts w:ascii="Times New Roman" w:hAnsi="Times New Roman"/>
          <w:sz w:val="20"/>
        </w:rPr>
        <w:t xml:space="preserve"> -  температура поверхности грунта в пределах полосы безопасности, °С; t</w:t>
      </w:r>
      <w:r>
        <w:rPr>
          <w:rFonts w:ascii="Times New Roman" w:hAnsi="Times New Roman"/>
          <w:position w:val="-13"/>
          <w:sz w:val="20"/>
        </w:rPr>
        <w:pict>
          <v:shape id="_x0000_i1276" type="#_x0000_t75" style="width:12.75pt;height:18pt">
            <v:imagedata r:id="rId68" o:title=""/>
          </v:shape>
        </w:pict>
      </w:r>
      <w:r>
        <w:rPr>
          <w:rFonts w:ascii="Times New Roman" w:hAnsi="Times New Roman"/>
          <w:sz w:val="20"/>
        </w:rPr>
        <w:t xml:space="preserve">  - средн</w:t>
      </w:r>
      <w:r>
        <w:rPr>
          <w:rFonts w:ascii="Times New Roman" w:hAnsi="Times New Roman"/>
          <w:sz w:val="20"/>
        </w:rPr>
        <w:t>яя интегральная температура поверхности грунта в черте застройки, возводимой (возведенной) по принципу II, определяется по формуле (13), °C; t</w:t>
      </w:r>
      <w:r>
        <w:rPr>
          <w:rFonts w:ascii="Times New Roman" w:hAnsi="Times New Roman"/>
          <w:position w:val="-10"/>
          <w:sz w:val="20"/>
        </w:rPr>
        <w:pict>
          <v:shape id="_x0000_i1277" type="#_x0000_t75" style="width:9pt;height:15.75pt">
            <v:imagedata r:id="rId19" o:title=""/>
          </v:shape>
        </w:pict>
      </w:r>
      <w:r>
        <w:rPr>
          <w:rFonts w:ascii="Times New Roman" w:hAnsi="Times New Roman"/>
          <w:sz w:val="20"/>
        </w:rPr>
        <w:t xml:space="preserve"> - температура вечномерзлого грунта в естественных условиях на глубине 10 см, °C;  B - ширина ближайшего к полосе безопасности здания или сооружения, возводимого по принципу II, 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</w:t>
      </w:r>
      <w:r>
        <w:rPr>
          <w:rFonts w:ascii="Times New Roman" w:hAnsi="Times New Roman"/>
          <w:position w:val="-13"/>
          <w:sz w:val="20"/>
        </w:rPr>
        <w:pict>
          <v:shape id="_x0000_i1278" type="#_x0000_t75" style="width:12.75pt;height:18pt">
            <v:imagedata r:id="rId68" o:title=""/>
          </v:shape>
        </w:pic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position w:val="-25"/>
          <w:sz w:val="20"/>
        </w:rPr>
        <w:pict>
          <v:shape id="_x0000_i1279" type="#_x0000_t75" style="width:69.75pt;height:35.25pt">
            <v:imagedata r:id="rId69" o:title=""/>
          </v:shape>
        </w:pict>
      </w:r>
      <w:r>
        <w:rPr>
          <w:rFonts w:ascii="Times New Roman" w:hAnsi="Times New Roman"/>
          <w:sz w:val="20"/>
        </w:rPr>
        <w:t xml:space="preserve">                    (13)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t</w:t>
      </w:r>
      <w:r>
        <w:rPr>
          <w:rFonts w:ascii="Times New Roman" w:hAnsi="Times New Roman"/>
          <w:position w:val="-10"/>
          <w:sz w:val="20"/>
        </w:rPr>
        <w:pict>
          <v:shape id="_x0000_i1280" type="#_x0000_t75" style="width:11.25pt;height:15.75pt">
            <v:imagedata r:id="rId70" o:title=""/>
          </v:shape>
        </w:pict>
      </w:r>
      <w:r>
        <w:rPr>
          <w:rFonts w:ascii="Times New Roman" w:hAnsi="Times New Roman"/>
          <w:sz w:val="20"/>
        </w:rPr>
        <w:t xml:space="preserve"> - температура поверхности грунта в пределах i-го элемента застройки (например, здания, дороги, газона и т.п.), °С; площадь S</w:t>
      </w:r>
      <w:r>
        <w:rPr>
          <w:rFonts w:ascii="Times New Roman" w:hAnsi="Times New Roman"/>
          <w:position w:val="-10"/>
          <w:sz w:val="20"/>
        </w:rPr>
        <w:pict>
          <v:shape id="_x0000_i1281" type="#_x0000_t75" style="width:9pt;height:15.75pt">
            <v:imagedata r:id="rId71" o:title=""/>
          </v:shape>
        </w:pict>
      </w:r>
      <w:r>
        <w:rPr>
          <w:rFonts w:ascii="Times New Roman" w:hAnsi="Times New Roman"/>
          <w:sz w:val="20"/>
        </w:rPr>
        <w:t xml:space="preserve"> элемента в процентах к о</w:t>
      </w:r>
      <w:r>
        <w:rPr>
          <w:rFonts w:ascii="Times New Roman" w:hAnsi="Times New Roman"/>
          <w:sz w:val="20"/>
        </w:rPr>
        <w:t xml:space="preserve">бщей площади  застроенной территории; n - количество элементов.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В случае отсутствия данных по t</w:t>
      </w:r>
      <w:r>
        <w:rPr>
          <w:rFonts w:ascii="Times New Roman" w:hAnsi="Times New Roman"/>
          <w:position w:val="-10"/>
          <w:sz w:val="20"/>
        </w:rPr>
        <w:pict>
          <v:shape id="_x0000_i1282" type="#_x0000_t75" style="width:11.25pt;height:15.75pt">
            <v:imagedata r:id="rId70" o:title=""/>
          </v:shape>
        </w:pict>
      </w:r>
      <w:r>
        <w:rPr>
          <w:rFonts w:ascii="Times New Roman" w:hAnsi="Times New Roman"/>
          <w:sz w:val="20"/>
        </w:rPr>
        <w:t xml:space="preserve"> допускается расчет среднеинтегральной температуры производить по формуле: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</w:t>
      </w:r>
      <w:r>
        <w:rPr>
          <w:rFonts w:ascii="Times New Roman" w:hAnsi="Times New Roman"/>
          <w:position w:val="-13"/>
          <w:sz w:val="20"/>
        </w:rPr>
        <w:pict>
          <v:shape id="_x0000_i1283" type="#_x0000_t75" style="width:12pt;height:18pt">
            <v:imagedata r:id="rId72" o:title=""/>
          </v:shape>
        </w:pict>
      </w:r>
      <w:r>
        <w:rPr>
          <w:rFonts w:ascii="Times New Roman" w:hAnsi="Times New Roman"/>
          <w:sz w:val="20"/>
        </w:rPr>
        <w:t>= P (t</w:t>
      </w:r>
      <w:r>
        <w:rPr>
          <w:rFonts w:ascii="Times New Roman" w:hAnsi="Times New Roman"/>
          <w:position w:val="-10"/>
          <w:sz w:val="20"/>
        </w:rPr>
        <w:pict>
          <v:shape id="_x0000_i1284" type="#_x0000_t75" style="width:12pt;height:15.75pt">
            <v:imagedata r:id="rId66" o:title=""/>
          </v:shape>
        </w:pict>
      </w:r>
      <w:r>
        <w:rPr>
          <w:rFonts w:ascii="Times New Roman" w:hAnsi="Times New Roman"/>
          <w:sz w:val="20"/>
        </w:rPr>
        <w:t xml:space="preserve"> - t</w:t>
      </w:r>
      <w:r>
        <w:rPr>
          <w:rFonts w:ascii="Times New Roman" w:hAnsi="Times New Roman"/>
          <w:position w:val="-10"/>
          <w:sz w:val="20"/>
        </w:rPr>
        <w:pict>
          <v:shape id="_x0000_i1285" type="#_x0000_t75" style="width:9pt;height:15.75pt">
            <v:imagedata r:id="rId19" o:title=""/>
          </v:shape>
        </w:pict>
      </w:r>
      <w:r>
        <w:rPr>
          <w:rFonts w:ascii="Times New Roman" w:hAnsi="Times New Roman"/>
          <w:sz w:val="20"/>
        </w:rPr>
        <w:t>) + t</w:t>
      </w:r>
      <w:r>
        <w:rPr>
          <w:rFonts w:ascii="Times New Roman" w:hAnsi="Times New Roman"/>
          <w:position w:val="-10"/>
          <w:sz w:val="20"/>
        </w:rPr>
        <w:pict>
          <v:shape id="_x0000_i1286" type="#_x0000_t75" style="width:9pt;height:15.75pt">
            <v:imagedata r:id="rId19" o:title=""/>
          </v:shape>
        </w:pict>
      </w:r>
      <w:r>
        <w:rPr>
          <w:rFonts w:ascii="Times New Roman" w:hAnsi="Times New Roman"/>
          <w:sz w:val="20"/>
        </w:rPr>
        <w:t>;                  (14)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Р - плотность застройки, возводимой (возведенной) по принципу II и выражаемая отношением площади, занимаемой зданиями или сооружениями, к общей площади застройки, дол. ед.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5. Расчет свай на совместное воздействие вертикальных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 горизонтальных сил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Расчетные усилия (продольн</w:t>
      </w:r>
      <w:r>
        <w:rPr>
          <w:rFonts w:ascii="Times New Roman" w:hAnsi="Times New Roman"/>
          <w:sz w:val="20"/>
        </w:rPr>
        <w:t>ую  силу, изгибающий момент и поперечную силу) в сечениях сваи следует определять в  зависимости от  мерзлотно-грунтовых  условий по одной из следующих расчетных схем: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схема 1 - свая погружена в  твердомерзлый грунт, глубина слоя сезонного оттаивания которого Н</w:t>
      </w:r>
      <w:r>
        <w:rPr>
          <w:rFonts w:ascii="Times New Roman" w:hAnsi="Times New Roman"/>
          <w:position w:val="-10"/>
          <w:sz w:val="20"/>
        </w:rPr>
        <w:pict>
          <v:shape id="_x0000_i1287" type="#_x0000_t75" style="width:17.25pt;height:15.75pt">
            <v:imagedata r:id="rId73" o:title=""/>
          </v:shape>
        </w:pict>
      </w:r>
      <w:r>
        <w:rPr>
          <w:rFonts w:ascii="Times New Roman" w:hAnsi="Times New Roman"/>
          <w:sz w:val="20"/>
        </w:rPr>
        <w:t xml:space="preserve"> 5 в, где в  - размер поперечного  сечения сваи, м, в направлении действия горизонтальной силы, а Н</w:t>
      </w:r>
      <w:r>
        <w:rPr>
          <w:rFonts w:ascii="Times New Roman" w:hAnsi="Times New Roman"/>
          <w:position w:val="-10"/>
          <w:sz w:val="20"/>
        </w:rPr>
        <w:pict>
          <v:shape id="_x0000_i1288" type="#_x0000_t75" style="width:9pt;height:15.75pt">
            <v:imagedata r:id="rId74" o:title=""/>
          </v:shape>
        </w:pict>
      </w:r>
      <w:r>
        <w:rPr>
          <w:rFonts w:ascii="Times New Roman" w:hAnsi="Times New Roman"/>
          <w:sz w:val="20"/>
        </w:rPr>
        <w:t xml:space="preserve">  - нормативная глубина сезонного оттаивания. Свая принимается жестко заделанной в мерзлом грунте в сечении, расположенном на глубине 1,5 в; сопро</w:t>
      </w:r>
      <w:r>
        <w:rPr>
          <w:rFonts w:ascii="Times New Roman" w:hAnsi="Times New Roman"/>
          <w:sz w:val="20"/>
        </w:rPr>
        <w:t xml:space="preserve">тивление  вышележащего оттаявшего и мерзлого грунта не учитывается; расчетная длина сваи </w:t>
      </w:r>
      <w:r>
        <w:rPr>
          <w:rFonts w:ascii="Times New Roman" w:hAnsi="Times New Roman"/>
          <w:position w:val="-10"/>
          <w:sz w:val="20"/>
        </w:rPr>
        <w:pict>
          <v:shape id="_x0000_i1289" type="#_x0000_t75" style="width:11.25pt;height:15.75pt">
            <v:imagedata r:id="rId75" o:title=""/>
          </v:shape>
        </w:pict>
      </w:r>
      <w:r>
        <w:rPr>
          <w:rFonts w:ascii="Times New Roman" w:hAnsi="Times New Roman"/>
          <w:sz w:val="20"/>
        </w:rPr>
        <w:t xml:space="preserve"> (м) принимается равной </w:t>
      </w:r>
      <w:r>
        <w:rPr>
          <w:rFonts w:ascii="Times New Roman" w:hAnsi="Times New Roman"/>
          <w:position w:val="-10"/>
          <w:sz w:val="20"/>
        </w:rPr>
        <w:pict>
          <v:shape id="_x0000_i1290" type="#_x0000_t75" style="width:11.25pt;height:15.75pt">
            <v:imagedata r:id="rId76" o:title=""/>
          </v:shape>
        </w:pict>
      </w:r>
      <w:r>
        <w:rPr>
          <w:rFonts w:ascii="Times New Roman" w:hAnsi="Times New Roman"/>
          <w:sz w:val="20"/>
        </w:rPr>
        <w:t>= Н</w:t>
      </w:r>
      <w:r>
        <w:rPr>
          <w:rFonts w:ascii="Times New Roman" w:hAnsi="Times New Roman"/>
          <w:position w:val="-10"/>
          <w:sz w:val="20"/>
        </w:rPr>
        <w:pict>
          <v:shape id="_x0000_i1291" type="#_x0000_t75" style="width:9pt;height:15.75pt">
            <v:imagedata r:id="rId74" o:title=""/>
          </v:shape>
        </w:pict>
      </w:r>
      <w:r>
        <w:rPr>
          <w:rFonts w:ascii="Times New Roman" w:hAnsi="Times New Roman"/>
          <w:sz w:val="20"/>
        </w:rPr>
        <w:t xml:space="preserve"> + 1,5 в;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схема 2 - свая погружена в твердомерзлый  грунт, глубина слоя сезонного оттаивания которого Н</w:t>
      </w:r>
      <w:r>
        <w:rPr>
          <w:rFonts w:ascii="Times New Roman" w:hAnsi="Times New Roman"/>
          <w:position w:val="-10"/>
          <w:sz w:val="20"/>
        </w:rPr>
        <w:pict>
          <v:shape id="_x0000_i1292" type="#_x0000_t75" style="width:9pt;height:15.75pt">
            <v:imagedata r:id="rId74" o:title=""/>
          </v:shape>
        </w:pict>
      </w:r>
      <w:r>
        <w:rPr>
          <w:rFonts w:ascii="Times New Roman" w:hAnsi="Times New Roman"/>
          <w:sz w:val="20"/>
        </w:rPr>
        <w:t xml:space="preserve"> &gt; 5 в. Свая принимается жестко заделанной в мерзлом грунте в сечении, расположенном на глубине 1,5 в; слой грунта, расположенный выше этого сечения, следует  рассматривать как линейно-деформируемую  среду с коэффициентом постели, возрастающим пропорционально глубине. Схему 2 допускае</w:t>
      </w:r>
      <w:r>
        <w:rPr>
          <w:rFonts w:ascii="Times New Roman" w:hAnsi="Times New Roman"/>
          <w:sz w:val="20"/>
        </w:rPr>
        <w:t>тся также применять и при Н</w:t>
      </w:r>
      <w:r>
        <w:rPr>
          <w:rFonts w:ascii="Times New Roman" w:hAnsi="Times New Roman"/>
          <w:position w:val="-10"/>
          <w:sz w:val="20"/>
        </w:rPr>
        <w:pict>
          <v:shape id="_x0000_i1293" type="#_x0000_t75" style="width:9pt;height:15.75pt">
            <v:imagedata r:id="rId74" o:title=""/>
          </v:shape>
        </w:pict>
      </w:r>
      <w:r>
        <w:rPr>
          <w:rFonts w:ascii="Times New Roman" w:hAnsi="Times New Roman"/>
          <w:position w:val="-4"/>
          <w:sz w:val="20"/>
        </w:rPr>
        <w:pict>
          <v:shape id="_x0000_i1294" type="#_x0000_t75" style="width:9.75pt;height:12pt">
            <v:imagedata r:id="rId41" o:title=""/>
          </v:shape>
        </w:pict>
      </w:r>
      <w:r>
        <w:rPr>
          <w:rFonts w:ascii="Times New Roman" w:hAnsi="Times New Roman"/>
          <w:sz w:val="20"/>
        </w:rPr>
        <w:t xml:space="preserve">5 в, если сезонно-оттаивающий слой сложен маловлажными крупнообломочными и песчаными грунтами, а также глинистыми грунтами со значениями показателя консистенции их в оттаявшем состоянии </w:t>
      </w:r>
      <w:r>
        <w:rPr>
          <w:rFonts w:ascii="Times New Roman" w:hAnsi="Times New Roman"/>
          <w:position w:val="-10"/>
          <w:sz w:val="20"/>
        </w:rPr>
        <w:pict>
          <v:shape id="_x0000_i1295" type="#_x0000_t75" style="width:11.25pt;height:18pt">
            <v:imagedata r:id="rId77" o:title=""/>
          </v:shape>
        </w:pict>
      </w:r>
      <w:r>
        <w:rPr>
          <w:rFonts w:ascii="Times New Roman" w:hAnsi="Times New Roman"/>
          <w:sz w:val="20"/>
        </w:rPr>
        <w:t xml:space="preserve"> &gt; 0,75 и количестве растительных остатков менее 5%;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в) схема 3 - свая погружена в пластичномерзлый грунт, используемый в качестве основания по принципу l, а также во все вечномерзлые грунты, используемые по принципу ll, с учетом указаний п. 4.20 главы СНиП II-18-76.  Окружающий сваю грунт след</w:t>
      </w:r>
      <w:r>
        <w:rPr>
          <w:rFonts w:ascii="Times New Roman" w:hAnsi="Times New Roman"/>
          <w:sz w:val="20"/>
        </w:rPr>
        <w:t>ует рассматривать как линейно-деформируемую среду с коэффициентом постели, возрастающим пропорционально глубине.</w:t>
      </w:r>
    </w:p>
    <w:p w:rsidR="00000000" w:rsidRDefault="00E74FE9">
      <w:pPr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Расчет сваи по схемам 2 и 3 должен выполняться в соответствии с   требованиями, изложенными в приложении к главе СНиП II-17-77, исходя из приведенной  глубины погружения  свай </w:t>
      </w:r>
      <w:r>
        <w:rPr>
          <w:rFonts w:ascii="Times New Roman" w:hAnsi="Times New Roman"/>
          <w:position w:val="-10"/>
          <w:sz w:val="20"/>
        </w:rPr>
        <w:pict>
          <v:shape id="_x0000_i1296" type="#_x0000_t75" style="width:11.25pt;height:18pt">
            <v:imagedata r:id="rId78" o:title=""/>
          </v:shape>
        </w:pict>
      </w:r>
      <w:r>
        <w:rPr>
          <w:rFonts w:ascii="Times New Roman" w:hAnsi="Times New Roman"/>
          <w:sz w:val="20"/>
        </w:rPr>
        <w:t xml:space="preserve"> (величина безразмерная), определяемой по формуле: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0"/>
          <w:sz w:val="20"/>
        </w:rPr>
        <w:pict>
          <v:shape id="_x0000_i1297" type="#_x0000_t75" style="width:11.25pt;height:18pt">
            <v:imagedata r:id="rId78" o:title=""/>
          </v:shape>
        </w:pict>
      </w:r>
      <w:r>
        <w:rPr>
          <w:rFonts w:ascii="Times New Roman" w:hAnsi="Times New Roman"/>
          <w:sz w:val="20"/>
        </w:rPr>
        <w:t xml:space="preserve">= </w:t>
      </w:r>
      <w:r>
        <w:rPr>
          <w:rFonts w:ascii="Times New Roman" w:hAnsi="Times New Roman"/>
          <w:position w:val="-13"/>
          <w:sz w:val="20"/>
        </w:rPr>
        <w:pict>
          <v:shape id="_x0000_i1298" type="#_x0000_t75" style="width:29.25pt;height:18pt">
            <v:imagedata r:id="rId79" o:title=""/>
          </v:shape>
        </w:pict>
      </w:r>
      <w:r>
        <w:rPr>
          <w:rFonts w:ascii="Times New Roman" w:hAnsi="Times New Roman"/>
          <w:sz w:val="20"/>
        </w:rPr>
        <w:t xml:space="preserve">                          (15)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 </w:t>
      </w:r>
      <w:r>
        <w:rPr>
          <w:rFonts w:ascii="Times New Roman" w:hAnsi="Times New Roman"/>
          <w:position w:val="-10"/>
          <w:sz w:val="20"/>
        </w:rPr>
        <w:pict>
          <v:shape id="_x0000_i1299" type="#_x0000_t75" style="width:11.25pt;height:15.75pt">
            <v:imagedata r:id="rId80" o:title=""/>
          </v:shape>
        </w:pict>
      </w:r>
      <w:r>
        <w:rPr>
          <w:rFonts w:ascii="Times New Roman" w:hAnsi="Times New Roman"/>
          <w:sz w:val="20"/>
        </w:rPr>
        <w:t xml:space="preserve">  - расчетная длина сваи, м, равная  Н</w:t>
      </w:r>
      <w:r>
        <w:rPr>
          <w:rFonts w:ascii="Times New Roman" w:hAnsi="Times New Roman"/>
          <w:position w:val="-10"/>
          <w:sz w:val="20"/>
        </w:rPr>
        <w:pict>
          <v:shape id="_x0000_i1300" type="#_x0000_t75" style="width:9pt;height:15.75pt">
            <v:imagedata r:id="rId74" o:title=""/>
          </v:shape>
        </w:pict>
      </w:r>
      <w:r>
        <w:rPr>
          <w:rFonts w:ascii="Times New Roman" w:hAnsi="Times New Roman"/>
          <w:sz w:val="20"/>
        </w:rPr>
        <w:t>+ 1,5 в при расчетах по схеме 2 и равная фактической глубине погружения сваи при расчета</w:t>
      </w:r>
      <w:r>
        <w:rPr>
          <w:rFonts w:ascii="Times New Roman" w:hAnsi="Times New Roman"/>
          <w:sz w:val="20"/>
        </w:rPr>
        <w:t>х по схеме 3, отсчитываемая от поверхности  грунта - при высоком ростверке или от подошвы ростверка - при низком ростверке;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3"/>
          <w:sz w:val="20"/>
        </w:rPr>
        <w:pict>
          <v:shape id="_x0000_i1301" type="#_x0000_t75" style="width:15.75pt;height:18pt">
            <v:imagedata r:id="rId81" o:title=""/>
          </v:shape>
        </w:pict>
      </w:r>
      <w:r>
        <w:rPr>
          <w:rFonts w:ascii="Times New Roman" w:hAnsi="Times New Roman"/>
          <w:sz w:val="20"/>
        </w:rPr>
        <w:t xml:space="preserve"> - коэффициент деформации системы свая-грунт (1/м), определяемый по указаниям, приведенным в приложении к главе СНиП II-17-77, при расчетах по схеме 2,  а также по схеме 3 в случаях, когда вечномерзлые грунты используются в качестве оснований по принципу II;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 результатам полевых испытаний свай при расчетах по схеме 3 в пластичномерзлых грунтах: при этом </w:t>
      </w:r>
      <w:r>
        <w:rPr>
          <w:rFonts w:ascii="Times New Roman" w:hAnsi="Times New Roman"/>
          <w:position w:val="-13"/>
          <w:sz w:val="20"/>
        </w:rPr>
        <w:pict>
          <v:shape id="_x0000_i1302" type="#_x0000_t75" style="width:15.75pt;height:18pt">
            <v:imagedata r:id="rId81" o:title=""/>
          </v:shape>
        </w:pict>
      </w:r>
      <w:r>
        <w:rPr>
          <w:rFonts w:ascii="Times New Roman" w:hAnsi="Times New Roman"/>
          <w:sz w:val="20"/>
        </w:rPr>
        <w:t xml:space="preserve"> следует определять по фо</w:t>
      </w:r>
      <w:r>
        <w:rPr>
          <w:rFonts w:ascii="Times New Roman" w:hAnsi="Times New Roman"/>
          <w:sz w:val="20"/>
        </w:rPr>
        <w:t xml:space="preserve">рмуле (41) главы СНиП II-18-76 при значении J, полученном в результате испытаний при условной  стабилизации горизонтальных перемещений от статистической горизонтальной нагрузки в соответствии с ГОСТ 5686-78.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 1. Расчет фундаментов мостов и водопропускных труб на совместное действие вертикальных и горизонтальных сил и моментов следует производить в соответствии с требованиями, изложенными в п. 9.14 главы СНиП II-18-76.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Расчет свайных фундаментов (проектируемых по принципу I) на горизонтальны</w:t>
      </w:r>
      <w:r>
        <w:rPr>
          <w:rFonts w:ascii="Times New Roman" w:hAnsi="Times New Roman"/>
          <w:sz w:val="20"/>
        </w:rPr>
        <w:t>е смещения, вызванные температурными деформациями ростверка, подлежит производить по схеме 2 при переменной глубине заделки, причем должны быть рассмотрены два расчетных случая: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для летне-осеннего периода, когда глубина сезоннооттаивающего слоя Н</w:t>
      </w:r>
      <w:r>
        <w:rPr>
          <w:rFonts w:ascii="Times New Roman" w:hAnsi="Times New Roman"/>
          <w:position w:val="-10"/>
          <w:sz w:val="20"/>
        </w:rPr>
        <w:pict>
          <v:shape id="_x0000_i1303" type="#_x0000_t75" style="width:9pt;height:15.75pt">
            <v:imagedata r:id="rId74" o:title=""/>
          </v:shape>
        </w:pict>
      </w:r>
      <w:r>
        <w:rPr>
          <w:rFonts w:ascii="Times New Roman" w:hAnsi="Times New Roman"/>
          <w:sz w:val="20"/>
        </w:rPr>
        <w:t xml:space="preserve"> достигает своего наибольшего значения, в этом случае расстояние Н</w:t>
      </w:r>
      <w:r>
        <w:rPr>
          <w:rFonts w:ascii="Times New Roman" w:hAnsi="Times New Roman"/>
          <w:position w:val="-10"/>
          <w:sz w:val="20"/>
        </w:rPr>
        <w:pict>
          <v:shape id="_x0000_i1304" type="#_x0000_t75" style="width:9pt;height:15.75pt">
            <v:imagedata r:id="rId45" o:title=""/>
          </v:shape>
        </w:pict>
      </w:r>
      <w:r>
        <w:rPr>
          <w:rFonts w:ascii="Times New Roman" w:hAnsi="Times New Roman"/>
          <w:sz w:val="20"/>
        </w:rPr>
        <w:t xml:space="preserve"> (м) от поверхности грунта до уровня жесткой заделки сваи принимается равным: Н</w:t>
      </w:r>
      <w:r>
        <w:rPr>
          <w:rFonts w:ascii="Times New Roman" w:hAnsi="Times New Roman"/>
          <w:position w:val="-10"/>
          <w:sz w:val="20"/>
        </w:rPr>
        <w:pict>
          <v:shape id="_x0000_i1305" type="#_x0000_t75" style="width:9pt;height:15.75pt">
            <v:imagedata r:id="rId45" o:title=""/>
          </v:shape>
        </w:pict>
      </w:r>
      <w:r>
        <w:rPr>
          <w:rFonts w:ascii="Times New Roman" w:hAnsi="Times New Roman"/>
          <w:sz w:val="20"/>
        </w:rPr>
        <w:t>= Н</w:t>
      </w:r>
      <w:r>
        <w:rPr>
          <w:rFonts w:ascii="Times New Roman" w:hAnsi="Times New Roman"/>
          <w:position w:val="-10"/>
          <w:sz w:val="20"/>
        </w:rPr>
        <w:pict>
          <v:shape id="_x0000_i1306" type="#_x0000_t75" style="width:9pt;height:15.75pt">
            <v:imagedata r:id="rId74" o:title=""/>
          </v:shape>
        </w:pict>
      </w:r>
      <w:r>
        <w:rPr>
          <w:rFonts w:ascii="Times New Roman" w:hAnsi="Times New Roman"/>
          <w:sz w:val="20"/>
        </w:rPr>
        <w:t>Z</w:t>
      </w:r>
      <w:r>
        <w:rPr>
          <w:rFonts w:ascii="Times New Roman" w:hAnsi="Times New Roman"/>
          <w:position w:val="-13"/>
          <w:sz w:val="20"/>
        </w:rPr>
        <w:pict>
          <v:shape id="_x0000_i1307" type="#_x0000_t75" style="width:9pt;height:18pt">
            <v:imagedata r:id="rId82" o:title=""/>
          </v:shape>
        </w:pict>
      </w:r>
      <w:r>
        <w:rPr>
          <w:rFonts w:ascii="Times New Roman" w:hAnsi="Times New Roman"/>
          <w:sz w:val="20"/>
        </w:rPr>
        <w:t>+ (1,5 + Z</w:t>
      </w:r>
      <w:r>
        <w:rPr>
          <w:rFonts w:ascii="Times New Roman" w:hAnsi="Times New Roman"/>
          <w:position w:val="-13"/>
          <w:sz w:val="20"/>
        </w:rPr>
        <w:pict>
          <v:shape id="_x0000_i1308" type="#_x0000_t75" style="width:9pt;height:18pt">
            <v:imagedata r:id="rId82" o:title=""/>
          </v:shape>
        </w:pict>
      </w:r>
      <w:r>
        <w:rPr>
          <w:rFonts w:ascii="Times New Roman" w:hAnsi="Times New Roman"/>
          <w:sz w:val="20"/>
        </w:rPr>
        <w:t>) В, но не более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position w:val="-30"/>
          <w:sz w:val="20"/>
        </w:rPr>
        <w:pict>
          <v:shape id="_x0000_i1309" type="#_x0000_t75" style="width:44.25pt;height:35.25pt">
            <v:imagedata r:id="rId83" o:title=""/>
          </v:shape>
        </w:pict>
      </w:r>
      <w:r>
        <w:rPr>
          <w:rFonts w:ascii="Times New Roman" w:hAnsi="Times New Roman"/>
          <w:sz w:val="20"/>
        </w:rPr>
        <w:t xml:space="preserve">                (16)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Z</w:t>
      </w:r>
      <w:r>
        <w:rPr>
          <w:rFonts w:ascii="Times New Roman" w:hAnsi="Times New Roman"/>
          <w:position w:val="-13"/>
          <w:sz w:val="20"/>
        </w:rPr>
        <w:pict>
          <v:shape id="_x0000_i1310" type="#_x0000_t75" style="width:9pt;height:18pt">
            <v:imagedata r:id="rId82" o:title=""/>
          </v:shape>
        </w:pict>
      </w:r>
      <w:r>
        <w:rPr>
          <w:rFonts w:ascii="Times New Roman" w:hAnsi="Times New Roman"/>
          <w:sz w:val="20"/>
        </w:rPr>
        <w:t>= е</w:t>
      </w:r>
      <w:r>
        <w:rPr>
          <w:rFonts w:ascii="Times New Roman" w:hAnsi="Times New Roman"/>
          <w:position w:val="-4"/>
          <w:sz w:val="20"/>
        </w:rPr>
        <w:pict>
          <v:shape id="_x0000_i1311" type="#_x0000_t75" style="width:35.25pt;height:20.25pt">
            <v:imagedata r:id="rId84" o:title=""/>
          </v:shape>
        </w:pict>
      </w:r>
      <w:r>
        <w:rPr>
          <w:rFonts w:ascii="Times New Roman" w:hAnsi="Times New Roman"/>
          <w:sz w:val="20"/>
        </w:rPr>
        <w:t xml:space="preserve"> - коэффициент, учитывающий влияние окружающе</w:t>
      </w:r>
      <w:r>
        <w:rPr>
          <w:rFonts w:ascii="Times New Roman" w:hAnsi="Times New Roman"/>
          <w:sz w:val="20"/>
        </w:rPr>
        <w:t>го грунта на работу сваи от горизонтального усилия, вызванного температурной деформацией с усадкой бетона;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здесь е - основание натурального логарифма;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 - коэффициент учета размерности, равный 1 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Значения коэффициента Z</w:t>
      </w:r>
      <w:r>
        <w:rPr>
          <w:rFonts w:ascii="Times New Roman" w:hAnsi="Times New Roman"/>
          <w:position w:val="-13"/>
          <w:sz w:val="20"/>
        </w:rPr>
        <w:pict>
          <v:shape id="_x0000_i1312" type="#_x0000_t75" style="width:9pt;height:18pt">
            <v:imagedata r:id="rId82" o:title=""/>
          </v:shape>
        </w:pict>
      </w:r>
      <w:r>
        <w:rPr>
          <w:rFonts w:ascii="Times New Roman" w:hAnsi="Times New Roman"/>
          <w:sz w:val="20"/>
        </w:rPr>
        <w:t xml:space="preserve"> допускается принимать  равными: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855"/>
        <w:gridCol w:w="855"/>
        <w:gridCol w:w="855"/>
        <w:gridCol w:w="855"/>
        <w:gridCol w:w="855"/>
        <w:gridCol w:w="855"/>
        <w:gridCol w:w="855"/>
        <w:gridCol w:w="855"/>
        <w:gridCol w:w="855"/>
        <w:gridCol w:w="85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313" type="#_x0000_t75" style="width:17.25pt;height:18pt">
                  <v:imagedata r:id="rId85" o:title=""/>
                </v:shape>
              </w:pic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 </w:t>
            </w:r>
          </w:p>
        </w:tc>
        <w:tc>
          <w:tcPr>
            <w:tcW w:w="85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 </w:t>
            </w:r>
          </w:p>
        </w:tc>
        <w:tc>
          <w:tcPr>
            <w:tcW w:w="85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 </w:t>
            </w:r>
          </w:p>
        </w:tc>
        <w:tc>
          <w:tcPr>
            <w:tcW w:w="85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 </w:t>
            </w:r>
          </w:p>
        </w:tc>
        <w:tc>
          <w:tcPr>
            <w:tcW w:w="85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0,8 </w:t>
            </w:r>
          </w:p>
        </w:tc>
        <w:tc>
          <w:tcPr>
            <w:tcW w:w="85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  <w:tc>
          <w:tcPr>
            <w:tcW w:w="85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1,2 </w:t>
            </w:r>
          </w:p>
        </w:tc>
        <w:tc>
          <w:tcPr>
            <w:tcW w:w="85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1,4 </w:t>
            </w:r>
          </w:p>
        </w:tc>
        <w:tc>
          <w:tcPr>
            <w:tcW w:w="8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Z</w:t>
            </w:r>
            <w:r>
              <w:rPr>
                <w:rFonts w:ascii="Times New Roman" w:hAnsi="Times New Roman"/>
                <w:position w:val="-13"/>
                <w:sz w:val="20"/>
              </w:rPr>
              <w:pict>
                <v:shape id="_x0000_i1314" type="#_x0000_t75" style="width:9pt;height:18pt">
                  <v:imagedata r:id="rId82" o:title=""/>
                </v:shape>
              </w:pic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1,00 </w:t>
            </w:r>
          </w:p>
        </w:tc>
        <w:tc>
          <w:tcPr>
            <w:tcW w:w="85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0,99 </w:t>
            </w:r>
          </w:p>
        </w:tc>
        <w:tc>
          <w:tcPr>
            <w:tcW w:w="85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0,94 </w:t>
            </w:r>
          </w:p>
        </w:tc>
        <w:tc>
          <w:tcPr>
            <w:tcW w:w="85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0,81 </w:t>
            </w:r>
          </w:p>
        </w:tc>
        <w:tc>
          <w:tcPr>
            <w:tcW w:w="85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0,60 </w:t>
            </w:r>
          </w:p>
        </w:tc>
        <w:tc>
          <w:tcPr>
            <w:tcW w:w="85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0,37 </w:t>
            </w:r>
          </w:p>
        </w:tc>
        <w:tc>
          <w:tcPr>
            <w:tcW w:w="85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0,18 </w:t>
            </w:r>
          </w:p>
        </w:tc>
        <w:tc>
          <w:tcPr>
            <w:tcW w:w="85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0,06 </w:t>
            </w:r>
          </w:p>
        </w:tc>
        <w:tc>
          <w:tcPr>
            <w:tcW w:w="8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для зимне-весеннего периода, когда сезоннооттаивающий слой находится в мерзлом состоянии и свая принимается защемленной в грун</w:t>
      </w:r>
      <w:r>
        <w:rPr>
          <w:rFonts w:ascii="Times New Roman" w:hAnsi="Times New Roman"/>
          <w:sz w:val="20"/>
        </w:rPr>
        <w:t>те этого слоя на расстоянии Н</w:t>
      </w:r>
      <w:r>
        <w:rPr>
          <w:rFonts w:ascii="Times New Roman" w:hAnsi="Times New Roman"/>
          <w:position w:val="-10"/>
          <w:sz w:val="20"/>
        </w:rPr>
        <w:pict>
          <v:shape id="_x0000_i1315" type="#_x0000_t75" style="width:9pt;height:15.75pt">
            <v:imagedata r:id="rId46" o:title=""/>
          </v:shape>
        </w:pict>
      </w:r>
      <w:r>
        <w:rPr>
          <w:rFonts w:ascii="Times New Roman" w:hAnsi="Times New Roman"/>
          <w:sz w:val="20"/>
        </w:rPr>
        <w:t xml:space="preserve"> (м) от поверхности грунта, равном Н</w:t>
      </w:r>
      <w:r>
        <w:rPr>
          <w:rFonts w:ascii="Times New Roman" w:hAnsi="Times New Roman"/>
          <w:position w:val="-10"/>
          <w:sz w:val="20"/>
        </w:rPr>
        <w:pict>
          <v:shape id="_x0000_i1316" type="#_x0000_t75" style="width:9pt;height:15.75pt">
            <v:imagedata r:id="rId46" o:title=""/>
          </v:shape>
        </w:pict>
      </w:r>
      <w:r>
        <w:rPr>
          <w:rFonts w:ascii="Times New Roman" w:hAnsi="Times New Roman"/>
          <w:sz w:val="20"/>
        </w:rPr>
        <w:t>= (1,5 + Z</w:t>
      </w:r>
      <w:r>
        <w:rPr>
          <w:rFonts w:ascii="Times New Roman" w:hAnsi="Times New Roman"/>
          <w:position w:val="-13"/>
          <w:sz w:val="20"/>
        </w:rPr>
        <w:pict>
          <v:shape id="_x0000_i1317" type="#_x0000_t75" style="width:9pt;height:18pt">
            <v:imagedata r:id="rId82" o:title=""/>
          </v:shape>
        </w:pict>
      </w:r>
      <w:r>
        <w:rPr>
          <w:rFonts w:ascii="Times New Roman" w:hAnsi="Times New Roman"/>
          <w:sz w:val="20"/>
        </w:rPr>
        <w:t xml:space="preserve">) в. Значение коэффициента </w:t>
      </w:r>
      <w:r>
        <w:rPr>
          <w:rFonts w:ascii="Times New Roman" w:hAnsi="Times New Roman"/>
          <w:position w:val="-6"/>
          <w:sz w:val="20"/>
        </w:rPr>
        <w:pict>
          <v:shape id="_x0000_i1318" type="#_x0000_t75" style="width:12pt;height:11.25pt">
            <v:imagedata r:id="rId86" o:title=""/>
          </v:shape>
        </w:pict>
      </w:r>
      <w:r>
        <w:rPr>
          <w:rFonts w:ascii="Times New Roman" w:hAnsi="Times New Roman"/>
          <w:position w:val="-13"/>
          <w:sz w:val="20"/>
        </w:rPr>
        <w:pict>
          <v:shape id="_x0000_i1319" type="#_x0000_t75" style="width:9pt;height:18pt">
            <v:imagedata r:id="rId82" o:title=""/>
          </v:shape>
        </w:pict>
      </w:r>
      <w:r>
        <w:rPr>
          <w:rFonts w:ascii="Times New Roman" w:hAnsi="Times New Roman"/>
          <w:sz w:val="20"/>
        </w:rPr>
        <w:t xml:space="preserve"> для обоих случаев определяется по данным полевых испытаний, а при отсутствии опытных данных допускается назначать </w:t>
      </w:r>
      <w:r>
        <w:rPr>
          <w:rFonts w:ascii="Times New Roman" w:hAnsi="Times New Roman"/>
          <w:position w:val="-6"/>
          <w:sz w:val="20"/>
        </w:rPr>
        <w:pict>
          <v:shape id="_x0000_i1320" type="#_x0000_t75" style="width:12pt;height:11.25pt">
            <v:imagedata r:id="rId86" o:title=""/>
          </v:shape>
        </w:pict>
      </w:r>
      <w:r>
        <w:rPr>
          <w:rFonts w:ascii="Times New Roman" w:hAnsi="Times New Roman"/>
          <w:position w:val="-13"/>
          <w:sz w:val="20"/>
        </w:rPr>
        <w:pict>
          <v:shape id="_x0000_i1321" type="#_x0000_t75" style="width:9pt;height:18pt">
            <v:imagedata r:id="rId82" o:title=""/>
          </v:shape>
        </w:pict>
      </w:r>
      <w:r>
        <w:rPr>
          <w:rFonts w:ascii="Times New Roman" w:hAnsi="Times New Roman"/>
          <w:sz w:val="20"/>
        </w:rPr>
        <w:t xml:space="preserve"> по указаниям, приведенным в приложении к главе СНиП II-18-77, принимая значения коэффициента К, МПам</w:t>
      </w:r>
      <w:r>
        <w:rPr>
          <w:rFonts w:ascii="Times New Roman" w:hAnsi="Times New Roman"/>
          <w:position w:val="-4"/>
          <w:sz w:val="20"/>
        </w:rPr>
        <w:pict>
          <v:shape id="_x0000_i1322" type="#_x0000_t75" style="width:14.25pt;height:17.25pt">
            <v:imagedata r:id="rId87" o:title=""/>
          </v:shape>
        </w:pict>
      </w:r>
      <w:r>
        <w:rPr>
          <w:rFonts w:ascii="Times New Roman" w:hAnsi="Times New Roman"/>
          <w:sz w:val="20"/>
        </w:rPr>
        <w:t xml:space="preserve"> (ТС/м</w:t>
      </w:r>
      <w:r>
        <w:rPr>
          <w:rFonts w:ascii="Times New Roman" w:hAnsi="Times New Roman"/>
          <w:position w:val="-4"/>
          <w:sz w:val="20"/>
        </w:rPr>
        <w:pict>
          <v:shape id="_x0000_i1323" type="#_x0000_t75" style="width:9pt;height:17.25pt">
            <v:imagedata r:id="rId88" o:title=""/>
          </v:shape>
        </w:pict>
      </w:r>
      <w:r>
        <w:rPr>
          <w:rFonts w:ascii="Times New Roman" w:hAnsi="Times New Roman"/>
          <w:sz w:val="20"/>
        </w:rPr>
        <w:t>) равными: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 = а</w:t>
      </w:r>
      <w:r>
        <w:rPr>
          <w:rFonts w:ascii="Times New Roman" w:hAnsi="Times New Roman"/>
          <w:position w:val="-10"/>
          <w:sz w:val="20"/>
        </w:rPr>
        <w:pict>
          <v:shape id="_x0000_i1324" type="#_x0000_t75" style="width:9pt;height:15.75pt">
            <v:imagedata r:id="rId45" o:title=""/>
          </v:shape>
        </w:pic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/>
          <w:position w:val="-9"/>
          <w:sz w:val="20"/>
        </w:rPr>
        <w:pict>
          <v:shape id="_x0000_i1325" type="#_x0000_t75" style="width:8.25pt;height:18pt">
            <v:imagedata r:id="rId89" o:title=""/>
          </v:shape>
        </w:pict>
      </w:r>
      <w:r>
        <w:rPr>
          <w:rFonts w:ascii="Times New Roman" w:hAnsi="Times New Roman"/>
          <w:sz w:val="20"/>
        </w:rPr>
        <w:t xml:space="preserve">  при R</w:t>
      </w:r>
      <w:r>
        <w:rPr>
          <w:rFonts w:ascii="Times New Roman" w:hAnsi="Times New Roman"/>
          <w:position w:val="-13"/>
          <w:sz w:val="20"/>
        </w:rPr>
        <w:pict>
          <v:shape id="_x0000_i1326" type="#_x0000_t75" style="width:15.75pt;height:18pt">
            <v:imagedata r:id="rId90" o:title=""/>
          </v:shape>
        </w:pict>
      </w:r>
      <w:r>
        <w:rPr>
          <w:rFonts w:ascii="Times New Roman" w:hAnsi="Times New Roman"/>
          <w:sz w:val="20"/>
        </w:rPr>
        <w:t xml:space="preserve"> 0,2 (20),                (17)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 = а</w:t>
      </w:r>
      <w:r>
        <w:rPr>
          <w:rFonts w:ascii="Times New Roman" w:hAnsi="Times New Roman"/>
          <w:position w:val="-10"/>
          <w:sz w:val="20"/>
        </w:rPr>
        <w:pict>
          <v:shape id="_x0000_i1327" type="#_x0000_t75" style="width:9pt;height:15.75pt">
            <v:imagedata r:id="rId46" o:title=""/>
          </v:shape>
        </w:pict>
      </w:r>
      <w:r>
        <w:rPr>
          <w:rFonts w:ascii="Times New Roman" w:hAnsi="Times New Roman"/>
          <w:sz w:val="20"/>
        </w:rPr>
        <w:t xml:space="preserve"> + а</w:t>
      </w:r>
      <w:r>
        <w:rPr>
          <w:rFonts w:ascii="Times New Roman" w:hAnsi="Times New Roman"/>
          <w:position w:val="-10"/>
          <w:sz w:val="20"/>
        </w:rPr>
        <w:pict>
          <v:shape id="_x0000_i1328" type="#_x0000_t75" style="width:9pt;height:15.75pt">
            <v:imagedata r:id="rId91" o:title=""/>
          </v:shape>
        </w:pict>
      </w:r>
      <w:r>
        <w:rPr>
          <w:rFonts w:ascii="Times New Roman" w:hAnsi="Times New Roman"/>
          <w:sz w:val="20"/>
        </w:rPr>
        <w:t xml:space="preserve"> (R</w:t>
      </w:r>
      <w:r>
        <w:rPr>
          <w:rFonts w:ascii="Times New Roman" w:hAnsi="Times New Roman"/>
          <w:position w:val="-7"/>
          <w:sz w:val="20"/>
        </w:rPr>
        <w:pict>
          <v:shape id="_x0000_i1329" type="#_x0000_t75" style="width:8.25pt;height:18pt">
            <v:imagedata r:id="rId89" o:title=""/>
          </v:shape>
        </w:pict>
      </w:r>
      <w:r>
        <w:rPr>
          <w:rFonts w:ascii="Times New Roman" w:hAnsi="Times New Roman"/>
          <w:sz w:val="20"/>
        </w:rPr>
        <w:t xml:space="preserve"> - R</w:t>
      </w:r>
      <w:r>
        <w:rPr>
          <w:rFonts w:ascii="Times New Roman" w:hAnsi="Times New Roman"/>
          <w:position w:val="-12"/>
          <w:sz w:val="20"/>
        </w:rPr>
        <w:pict>
          <v:shape id="_x0000_i1330" type="#_x0000_t75" style="width:8.25pt;height:21pt">
            <v:imagedata r:id="rId92" o:title=""/>
          </v:shape>
        </w:pict>
      </w:r>
      <w:r>
        <w:rPr>
          <w:rFonts w:ascii="Times New Roman" w:hAnsi="Times New Roman"/>
          <w:sz w:val="20"/>
        </w:rPr>
        <w:t>)  при  R</w:t>
      </w:r>
      <w:r>
        <w:rPr>
          <w:rFonts w:ascii="Times New Roman" w:hAnsi="Times New Roman"/>
          <w:position w:val="-9"/>
          <w:sz w:val="20"/>
        </w:rPr>
        <w:pict>
          <v:shape id="_x0000_i1331" type="#_x0000_t75" style="width:8.25pt;height:18pt">
            <v:imagedata r:id="rId89" o:title=""/>
          </v:shape>
        </w:pict>
      </w:r>
      <w:r>
        <w:rPr>
          <w:rFonts w:ascii="Times New Roman" w:hAnsi="Times New Roman"/>
          <w:sz w:val="20"/>
        </w:rPr>
        <w:t xml:space="preserve"> &gt; 0,2 (20),       (18)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R</w:t>
      </w:r>
      <w:r>
        <w:rPr>
          <w:rFonts w:ascii="Times New Roman" w:hAnsi="Times New Roman"/>
          <w:position w:val="-10"/>
          <w:sz w:val="20"/>
        </w:rPr>
        <w:pict>
          <v:shape id="_x0000_i1332" type="#_x0000_t75" style="width:9pt;height:15.75pt">
            <v:imagedata r:id="rId19" o:title=""/>
          </v:shape>
        </w:pict>
      </w:r>
      <w:r>
        <w:rPr>
          <w:rFonts w:ascii="Times New Roman" w:hAnsi="Times New Roman"/>
          <w:sz w:val="20"/>
        </w:rPr>
        <w:t xml:space="preserve"> - расчетное давление на грунты основания, МПа (тс/м</w:t>
      </w:r>
      <w:r>
        <w:rPr>
          <w:rFonts w:ascii="Times New Roman" w:hAnsi="Times New Roman"/>
          <w:position w:val="-4"/>
          <w:sz w:val="20"/>
        </w:rPr>
        <w:pict>
          <v:shape id="_x0000_i1333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), пр</w:t>
      </w:r>
      <w:r>
        <w:rPr>
          <w:rFonts w:ascii="Times New Roman" w:hAnsi="Times New Roman"/>
          <w:sz w:val="20"/>
        </w:rPr>
        <w:t>инимаемое по табл. 1, 2 и 4 прил. 4 к главе СНиП по проектированию оснований и сооружений для первого случая расчета и по табл. 2 прил. 6 к главе СНиП II-18-76 для второго случая расчета: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position w:val="-10"/>
          <w:sz w:val="20"/>
        </w:rPr>
        <w:pict>
          <v:shape id="_x0000_i1334" type="#_x0000_t75" style="width:9pt;height:15.75pt">
            <v:imagedata r:id="rId45" o:title=""/>
          </v:shape>
        </w:pict>
      </w:r>
      <w:r>
        <w:rPr>
          <w:rFonts w:ascii="Times New Roman" w:hAnsi="Times New Roman"/>
          <w:sz w:val="20"/>
        </w:rPr>
        <w:t>= 7,5 м</w:t>
      </w:r>
      <w:r>
        <w:rPr>
          <w:rFonts w:ascii="Times New Roman" w:hAnsi="Times New Roman"/>
          <w:position w:val="-4"/>
          <w:sz w:val="20"/>
        </w:rPr>
        <w:pict>
          <v:shape id="_x0000_i1335" type="#_x0000_t75" style="width:14.25pt;height:17.25pt">
            <v:imagedata r:id="rId87" o:title=""/>
          </v:shape>
        </w:pict>
      </w:r>
      <w:r>
        <w:rPr>
          <w:rFonts w:ascii="Times New Roman" w:hAnsi="Times New Roman"/>
          <w:sz w:val="20"/>
        </w:rPr>
        <w:t>;  а</w:t>
      </w:r>
      <w:r>
        <w:rPr>
          <w:rFonts w:ascii="Times New Roman" w:hAnsi="Times New Roman"/>
          <w:position w:val="-10"/>
          <w:sz w:val="20"/>
        </w:rPr>
        <w:pict>
          <v:shape id="_x0000_i1336" type="#_x0000_t75" style="width:9pt;height:15.75pt">
            <v:imagedata r:id="rId46" o:title=""/>
          </v:shape>
        </w:pict>
      </w:r>
      <w:r>
        <w:rPr>
          <w:rFonts w:ascii="Times New Roman" w:hAnsi="Times New Roman"/>
          <w:sz w:val="20"/>
        </w:rPr>
        <w:t xml:space="preserve"> = 1,5 МПа·м</w:t>
      </w:r>
      <w:r>
        <w:rPr>
          <w:rFonts w:ascii="Times New Roman" w:hAnsi="Times New Roman"/>
          <w:position w:val="-4"/>
          <w:sz w:val="20"/>
        </w:rPr>
        <w:pict>
          <v:shape id="_x0000_i1337" type="#_x0000_t75" style="width:14.25pt;height:17.25pt">
            <v:imagedata r:id="rId87" o:title=""/>
          </v:shape>
        </w:pict>
      </w:r>
      <w:r>
        <w:rPr>
          <w:rFonts w:ascii="Times New Roman" w:hAnsi="Times New Roman"/>
          <w:sz w:val="20"/>
        </w:rPr>
        <w:t xml:space="preserve">  (150 тс/м</w:t>
      </w:r>
      <w:r>
        <w:rPr>
          <w:rFonts w:ascii="Times New Roman" w:hAnsi="Times New Roman"/>
          <w:position w:val="-4"/>
          <w:sz w:val="20"/>
        </w:rPr>
        <w:pict>
          <v:shape id="_x0000_i1338" type="#_x0000_t75" style="width:9pt;height:17.25pt">
            <v:imagedata r:id="rId88" o:title=""/>
          </v:shape>
        </w:pict>
      </w:r>
      <w:r>
        <w:rPr>
          <w:rFonts w:ascii="Times New Roman" w:hAnsi="Times New Roman"/>
          <w:sz w:val="20"/>
        </w:rPr>
        <w:t>);</w:t>
      </w:r>
    </w:p>
    <w:p w:rsidR="00000000" w:rsidRDefault="00E74FE9">
      <w:pPr>
        <w:rPr>
          <w:rFonts w:ascii="Times New Roman" w:hAnsi="Times New Roman"/>
          <w:sz w:val="20"/>
        </w:rPr>
      </w:pPr>
    </w:p>
    <w:p w:rsidR="00000000" w:rsidRDefault="00E74F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а</w:t>
      </w:r>
      <w:r>
        <w:rPr>
          <w:rFonts w:ascii="Times New Roman" w:hAnsi="Times New Roman"/>
          <w:position w:val="-10"/>
          <w:sz w:val="20"/>
        </w:rPr>
        <w:pict>
          <v:shape id="_x0000_i1339" type="#_x0000_t75" style="width:9pt;height:15.75pt">
            <v:imagedata r:id="rId91" o:title=""/>
          </v:shape>
        </w:pict>
      </w:r>
      <w:r>
        <w:rPr>
          <w:rFonts w:ascii="Times New Roman" w:hAnsi="Times New Roman"/>
          <w:sz w:val="20"/>
        </w:rPr>
        <w:t>= 35 м</w:t>
      </w:r>
      <w:r>
        <w:rPr>
          <w:rFonts w:ascii="Times New Roman" w:hAnsi="Times New Roman"/>
          <w:position w:val="-4"/>
          <w:sz w:val="20"/>
        </w:rPr>
        <w:pict>
          <v:shape id="_x0000_i1340" type="#_x0000_t75" style="width:14.25pt;height:17.25pt">
            <v:imagedata r:id="rId87" o:title=""/>
          </v:shape>
        </w:pict>
      </w:r>
      <w:r>
        <w:rPr>
          <w:rFonts w:ascii="Times New Roman" w:hAnsi="Times New Roman"/>
          <w:sz w:val="20"/>
        </w:rPr>
        <w:t xml:space="preserve"> - размерные коэффициенты;</w:t>
      </w:r>
    </w:p>
    <w:p w:rsidR="00000000" w:rsidRDefault="00E74FE9">
      <w:pPr>
        <w:rPr>
          <w:rFonts w:ascii="Times New Roman" w:hAnsi="Times New Roman"/>
          <w:sz w:val="20"/>
        </w:rPr>
      </w:pPr>
    </w:p>
    <w:p w:rsidR="00000000" w:rsidRDefault="00E74F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R</w:t>
      </w:r>
      <w:r>
        <w:rPr>
          <w:rFonts w:ascii="Times New Roman" w:hAnsi="Times New Roman"/>
          <w:position w:val="-10"/>
          <w:sz w:val="20"/>
        </w:rPr>
        <w:pict>
          <v:shape id="_x0000_i1341" type="#_x0000_t75" style="width:8.25pt;height:21pt">
            <v:imagedata r:id="rId92" o:title=""/>
          </v:shape>
        </w:pict>
      </w:r>
      <w:r>
        <w:rPr>
          <w:rFonts w:ascii="Times New Roman" w:hAnsi="Times New Roman"/>
          <w:sz w:val="20"/>
        </w:rPr>
        <w:t xml:space="preserve"> = 0,2 МПа (20 тс/м</w:t>
      </w:r>
      <w:r>
        <w:rPr>
          <w:rFonts w:ascii="Times New Roman" w:hAnsi="Times New Roman"/>
          <w:position w:val="-4"/>
          <w:sz w:val="20"/>
        </w:rPr>
        <w:pict>
          <v:shape id="_x0000_i1342" type="#_x0000_t75" style="width:9pt;height:17.25pt">
            <v:imagedata r:id="rId93" o:title=""/>
          </v:shape>
        </w:pict>
      </w:r>
      <w:r>
        <w:rPr>
          <w:rFonts w:ascii="Times New Roman" w:hAnsi="Times New Roman"/>
          <w:sz w:val="20"/>
        </w:rPr>
        <w:t>)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При наличии соответствующих опытных данных в расчетных схемах 2 и 3 допускается принимать постоянные по глубине значения коэффициентов постели сезоннооттаивающего слоя и вечномерзлого грунта.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Расчет гл</w:t>
      </w:r>
      <w:r>
        <w:rPr>
          <w:rFonts w:ascii="Times New Roman" w:hAnsi="Times New Roman"/>
          <w:sz w:val="20"/>
        </w:rPr>
        <w:t xml:space="preserve">убины предварительного оттаивания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вечномерзлого грунта в основании здания или сооружения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Глубина предварительного оттаивания грунта Н</w:t>
      </w:r>
      <w:r>
        <w:rPr>
          <w:rFonts w:ascii="Times New Roman" w:hAnsi="Times New Roman"/>
          <w:position w:val="-10"/>
          <w:sz w:val="20"/>
        </w:rPr>
        <w:pict>
          <v:shape id="_x0000_i1343" type="#_x0000_t75" style="width:12.75pt;height:15.75pt">
            <v:imagedata r:id="rId57" o:title=""/>
          </v:shape>
        </w:pict>
      </w:r>
      <w:r>
        <w:rPr>
          <w:rFonts w:ascii="Times New Roman" w:hAnsi="Times New Roman"/>
          <w:sz w:val="20"/>
        </w:rPr>
        <w:t xml:space="preserve"> определяется по номограмме на рис. 3.1 путем перемещения по одной из кривых номограммы, соответствующей значению </w:t>
      </w:r>
      <w:r>
        <w:rPr>
          <w:rFonts w:ascii="Times New Roman" w:hAnsi="Times New Roman"/>
          <w:position w:val="-10"/>
          <w:sz w:val="20"/>
        </w:rPr>
        <w:pict>
          <v:shape id="_x0000_i1344" type="#_x0000_t75" style="width:11.25pt;height:15.75pt">
            <v:imagedata r:id="rId94" o:title=""/>
          </v:shape>
        </w:pict>
      </w:r>
      <w:r>
        <w:rPr>
          <w:rFonts w:ascii="Times New Roman" w:hAnsi="Times New Roman"/>
          <w:sz w:val="20"/>
        </w:rPr>
        <w:t>, определяемому по формуле (19), вершины А, прямоугольного треугольника АВС с катетами, определяемыми по формулам (20) и (21) таким образом, чтобы катеты треугольника оставались параллельными осями  координат, а вершина В совпала с указанной кривой. В этом слу</w:t>
      </w:r>
      <w:r>
        <w:rPr>
          <w:rFonts w:ascii="Times New Roman" w:hAnsi="Times New Roman"/>
          <w:sz w:val="20"/>
        </w:rPr>
        <w:t>чае ордината вершины А будет соответствовать значению Н</w:t>
      </w:r>
      <w:r>
        <w:rPr>
          <w:rFonts w:ascii="Times New Roman" w:hAnsi="Times New Roman"/>
          <w:position w:val="-10"/>
          <w:sz w:val="20"/>
        </w:rPr>
        <w:pict>
          <v:shape id="_x0000_i1345" type="#_x0000_t75" style="width:12.75pt;height:15.75pt">
            <v:imagedata r:id="rId57" o:title=""/>
          </v:shape>
        </w:pict>
      </w:r>
      <w:r>
        <w:rPr>
          <w:rFonts w:ascii="Times New Roman" w:hAnsi="Times New Roman"/>
          <w:sz w:val="20"/>
        </w:rPr>
        <w:t>. (В - ширина здания или сооружения в м).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8"/>
          <w:sz w:val="20"/>
        </w:rPr>
        <w:pict>
          <v:shape id="_x0000_i1346" type="#_x0000_t75" style="width:60.75pt;height:33.75pt">
            <v:imagedata r:id="rId95" o:title=""/>
          </v:shape>
        </w:pict>
      </w:r>
      <w:r>
        <w:rPr>
          <w:rFonts w:ascii="Times New Roman" w:hAnsi="Times New Roman"/>
          <w:sz w:val="20"/>
        </w:rPr>
        <w:t xml:space="preserve">                               (19)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АС = J = </w:t>
      </w:r>
      <w:r>
        <w:rPr>
          <w:rFonts w:ascii="Times New Roman" w:hAnsi="Times New Roman"/>
          <w:position w:val="-30"/>
          <w:sz w:val="20"/>
        </w:rPr>
        <w:pict>
          <v:shape id="_x0000_i1347" type="#_x0000_t75" style="width:44.25pt;height:35.25pt">
            <v:imagedata r:id="rId96" o:title=""/>
          </v:shape>
        </w:pict>
      </w:r>
      <w:r>
        <w:rPr>
          <w:rFonts w:ascii="Times New Roman" w:hAnsi="Times New Roman"/>
          <w:sz w:val="20"/>
        </w:rPr>
        <w:t xml:space="preserve">                                (20)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ВС = </w:t>
      </w:r>
      <w:r>
        <w:rPr>
          <w:rFonts w:ascii="Times New Roman" w:hAnsi="Times New Roman"/>
          <w:position w:val="-10"/>
          <w:sz w:val="20"/>
        </w:rPr>
        <w:pict>
          <v:shape id="_x0000_i1348" type="#_x0000_t75" style="width:18pt;height:17.25pt">
            <v:imagedata r:id="rId97" o:title=""/>
          </v:shape>
        </w:pict>
      </w:r>
      <w:r>
        <w:rPr>
          <w:rFonts w:ascii="Times New Roman" w:hAnsi="Times New Roman"/>
          <w:sz w:val="20"/>
        </w:rPr>
        <w:t xml:space="preserve">с = </w:t>
      </w:r>
      <w:r>
        <w:rPr>
          <w:rFonts w:ascii="Times New Roman" w:hAnsi="Times New Roman"/>
          <w:position w:val="-22"/>
          <w:sz w:val="20"/>
        </w:rPr>
        <w:pict>
          <v:shape id="_x0000_i1349" type="#_x0000_t75" style="width:32.25pt;height:33pt">
            <v:imagedata r:id="rId98" o:title=""/>
          </v:shape>
        </w:pict>
      </w:r>
      <w:r>
        <w:rPr>
          <w:rFonts w:ascii="Times New Roman" w:hAnsi="Times New Roman"/>
          <w:sz w:val="20"/>
        </w:rPr>
        <w:t xml:space="preserve">                          (21)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где </w:t>
      </w:r>
      <w:r>
        <w:rPr>
          <w:rFonts w:ascii="Times New Roman" w:hAnsi="Times New Roman"/>
          <w:position w:val="-10"/>
          <w:sz w:val="20"/>
        </w:rPr>
        <w:pict>
          <v:shape id="_x0000_i1350" type="#_x0000_t75" style="width:15pt;height:15.75pt">
            <v:imagedata r:id="rId99" o:title=""/>
          </v:shape>
        </w:pic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position w:val="-10"/>
          <w:sz w:val="20"/>
        </w:rPr>
        <w:pict>
          <v:shape id="_x0000_i1351" type="#_x0000_t75" style="width:15.75pt;height:15.75pt">
            <v:imagedata r:id="rId100" o:title=""/>
          </v:shape>
        </w:pict>
      </w:r>
      <w:r>
        <w:rPr>
          <w:rFonts w:ascii="Times New Roman" w:hAnsi="Times New Roman"/>
          <w:sz w:val="20"/>
        </w:rPr>
        <w:t xml:space="preserve"> - коэффициент теплопроводности соответственно талого и мерзлого грунта, Вт (м°С);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</w:t>
      </w:r>
      <w:r>
        <w:rPr>
          <w:rFonts w:ascii="Times New Roman" w:hAnsi="Times New Roman"/>
          <w:position w:val="-10"/>
          <w:sz w:val="20"/>
        </w:rPr>
        <w:pict>
          <v:shape id="_x0000_i1352" type="#_x0000_t75" style="width:9pt;height:15.75pt">
            <v:imagedata r:id="rId19" o:title=""/>
          </v:shape>
        </w:pict>
      </w:r>
      <w:r>
        <w:rPr>
          <w:rFonts w:ascii="Times New Roman" w:hAnsi="Times New Roman"/>
          <w:sz w:val="20"/>
        </w:rPr>
        <w:t xml:space="preserve"> - температура вечномерзлого грунта в естественных условиях на глубине 10 м °С; t</w:t>
      </w:r>
      <w:r>
        <w:rPr>
          <w:rFonts w:ascii="Times New Roman" w:hAnsi="Times New Roman"/>
          <w:position w:val="-10"/>
          <w:sz w:val="20"/>
        </w:rPr>
        <w:pict>
          <v:shape id="_x0000_i1353" type="#_x0000_t75" style="width:9pt;height:15.75pt">
            <v:imagedata r:id="rId101" o:title=""/>
          </v:shape>
        </w:pict>
      </w:r>
      <w:r>
        <w:rPr>
          <w:rFonts w:ascii="Times New Roman" w:hAnsi="Times New Roman"/>
          <w:sz w:val="20"/>
        </w:rPr>
        <w:t xml:space="preserve"> - температура поверхности грунта под зданием или сооружением, °С; q - теплота таяния мерзлого грунта, Дж/</w:t>
      </w:r>
      <w:r>
        <w:rPr>
          <w:rFonts w:ascii="Times New Roman" w:hAnsi="Times New Roman"/>
          <w:sz w:val="20"/>
        </w:rPr>
        <w:t>м</w:t>
      </w:r>
      <w:r>
        <w:rPr>
          <w:rFonts w:ascii="Times New Roman" w:hAnsi="Times New Roman"/>
          <w:position w:val="-4"/>
          <w:sz w:val="20"/>
        </w:rPr>
        <w:pict>
          <v:shape id="_x0000_i1354" type="#_x0000_t75" style="width:9pt;height:17.25pt">
            <v:imagedata r:id="rId6" o:title=""/>
          </v:shape>
        </w:pict>
      </w:r>
      <w:r>
        <w:rPr>
          <w:rFonts w:ascii="Times New Roman" w:hAnsi="Times New Roman"/>
          <w:sz w:val="20"/>
        </w:rPr>
        <w:t xml:space="preserve">; </w:t>
      </w:r>
      <w:r>
        <w:rPr>
          <w:rFonts w:ascii="Times New Roman" w:hAnsi="Times New Roman"/>
          <w:position w:val="-6"/>
          <w:sz w:val="20"/>
        </w:rPr>
        <w:pict>
          <v:shape id="_x0000_i1355" type="#_x0000_t75" style="width:9.75pt;height:11.25pt">
            <v:imagedata r:id="rId102" o:title=""/>
          </v:shape>
        </w:pict>
      </w:r>
      <w:r>
        <w:rPr>
          <w:rFonts w:ascii="Times New Roman" w:hAnsi="Times New Roman"/>
          <w:sz w:val="20"/>
        </w:rPr>
        <w:t xml:space="preserve"> - период эксплуатации здания или сооружения, с; S</w:t>
      </w:r>
      <w:r>
        <w:rPr>
          <w:rFonts w:ascii="Times New Roman" w:hAnsi="Times New Roman"/>
          <w:position w:val="-13"/>
          <w:sz w:val="20"/>
        </w:rPr>
        <w:pict>
          <v:shape id="_x0000_i1356" type="#_x0000_t75" style="width:14.25pt;height:18pt">
            <v:imagedata r:id="rId103" o:title=""/>
          </v:shape>
        </w:pict>
      </w:r>
      <w:r>
        <w:rPr>
          <w:rFonts w:ascii="Times New Roman" w:hAnsi="Times New Roman"/>
          <w:sz w:val="20"/>
        </w:rPr>
        <w:t xml:space="preserve">  - предельно допускаемая величина совместной деформации основания и здания (сооружения), м; J - относительная осадка вечномерзлых грунтов при оттаивании под бытовым давлением, безразм.</w:t>
      </w: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Приложение 3</w:t>
      </w: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357" type="#_x0000_t75" style="width:317.25pt;height:446.25pt">
            <v:imagedata r:id="rId104" o:title=""/>
          </v:shape>
        </w:pic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3.1. Номограмма для определения Н</w:t>
      </w:r>
      <w:r>
        <w:rPr>
          <w:rFonts w:ascii="Times New Roman" w:hAnsi="Times New Roman"/>
          <w:position w:val="-10"/>
          <w:sz w:val="20"/>
        </w:rPr>
        <w:pict>
          <v:shape id="_x0000_i1358" type="#_x0000_t75" style="width:12.75pt;height:15.75pt">
            <v:imagedata r:id="rId57" o:title=""/>
          </v:shape>
        </w:pict>
      </w:r>
      <w:r>
        <w:rPr>
          <w:rFonts w:ascii="Times New Roman" w:hAnsi="Times New Roman"/>
          <w:sz w:val="20"/>
        </w:rPr>
        <w:t xml:space="preserve">/В </w:t>
      </w:r>
    </w:p>
    <w:p w:rsidR="00000000" w:rsidRDefault="00E74FE9">
      <w:pPr>
        <w:rPr>
          <w:rFonts w:ascii="Times New Roman" w:hAnsi="Times New Roman"/>
          <w:sz w:val="20"/>
        </w:rPr>
      </w:pPr>
    </w:p>
    <w:p w:rsidR="00000000" w:rsidRDefault="00E74F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Примечание: является известной номограммой </w:t>
      </w:r>
      <w:r>
        <w:rPr>
          <w:rFonts w:ascii="Times New Roman" w:hAnsi="Times New Roman"/>
          <w:position w:val="-10"/>
          <w:sz w:val="20"/>
        </w:rPr>
        <w:pict>
          <v:shape id="_x0000_i1359" type="#_x0000_t75" style="width:12.75pt;height:17.25pt">
            <v:imagedata r:id="rId105" o:title=""/>
          </v:shape>
        </w:pict>
      </w:r>
      <w:r>
        <w:rPr>
          <w:rFonts w:ascii="Times New Roman" w:hAnsi="Times New Roman"/>
          <w:sz w:val="20"/>
        </w:rPr>
        <w:t xml:space="preserve">=f(J) СНиП II-18-76, в которой логарифмическая шкала J заменена равномерной и продлена до 7. 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360" type="#_x0000_t75" style="width:390pt;height:311.25pt">
            <v:imagedata r:id="rId106" o:title=""/>
          </v:shape>
        </w:pic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3.2. Номограмма для определе</w:t>
      </w:r>
      <w:r>
        <w:rPr>
          <w:rFonts w:ascii="Times New Roman" w:hAnsi="Times New Roman"/>
          <w:sz w:val="20"/>
        </w:rPr>
        <w:t xml:space="preserve">ния R 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Приложение 4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Ориентировочные размеры санитарно-защитных разрывов </w:t>
      </w:r>
    </w:p>
    <w:p w:rsidR="00000000" w:rsidRDefault="00E74F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550"/>
        <w:gridCol w:w="2550"/>
        <w:gridCol w:w="1140"/>
        <w:gridCol w:w="1140"/>
        <w:gridCol w:w="11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Промышленный объект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Загрязняющее вещество </w:t>
            </w:r>
          </w:p>
        </w:tc>
        <w:tc>
          <w:tcPr>
            <w:tcW w:w="3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Размеры санитарно-защитных разрывов в км при скорости ветра в м/с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5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 м/с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м/с 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м/с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Газоперерабатывающий завод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550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Сажа, пыль </w:t>
            </w:r>
          </w:p>
        </w:tc>
        <w:tc>
          <w:tcPr>
            <w:tcW w:w="114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  <w:tc>
          <w:tcPr>
            <w:tcW w:w="114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  <w:tc>
          <w:tcPr>
            <w:tcW w:w="114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7,0-8,0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Компрессорные станции газопроводов, использующие нефтяное топливо </w:t>
            </w:r>
          </w:p>
        </w:tc>
        <w:tc>
          <w:tcPr>
            <w:tcW w:w="255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Сероводород </w:t>
            </w:r>
          </w:p>
        </w:tc>
        <w:tc>
          <w:tcPr>
            <w:tcW w:w="114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  <w:tc>
          <w:tcPr>
            <w:tcW w:w="114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2,0 </w:t>
            </w:r>
          </w:p>
        </w:tc>
        <w:tc>
          <w:tcPr>
            <w:tcW w:w="114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55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Окислы серы (сернистый ангидрид)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4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114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  <w:tc>
          <w:tcPr>
            <w:tcW w:w="114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2,5-3,0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Тепловые электростанции на нефтяном топливе </w:t>
            </w:r>
          </w:p>
        </w:tc>
        <w:tc>
          <w:tcPr>
            <w:tcW w:w="255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Окислы сер</w:t>
            </w:r>
            <w:r>
              <w:rPr>
                <w:rFonts w:ascii="Times New Roman" w:hAnsi="Times New Roman"/>
                <w:sz w:val="20"/>
              </w:rPr>
              <w:t>ы (сернистый ангидрид)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  <w:tc>
          <w:tcPr>
            <w:tcW w:w="114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  <w:tc>
          <w:tcPr>
            <w:tcW w:w="114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 </w:t>
            </w:r>
          </w:p>
        </w:tc>
        <w:tc>
          <w:tcPr>
            <w:tcW w:w="114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55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Окислы азота (двуокись азота)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4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  <w:tc>
          <w:tcPr>
            <w:tcW w:w="114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 </w:t>
            </w:r>
          </w:p>
        </w:tc>
        <w:tc>
          <w:tcPr>
            <w:tcW w:w="114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55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Окись углерода </w:t>
            </w:r>
          </w:p>
        </w:tc>
        <w:tc>
          <w:tcPr>
            <w:tcW w:w="114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  <w:tc>
          <w:tcPr>
            <w:tcW w:w="114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2,0 </w:t>
            </w:r>
          </w:p>
        </w:tc>
        <w:tc>
          <w:tcPr>
            <w:tcW w:w="114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550" w:type="dxa"/>
            <w:tcBorders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Сажа, пыль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4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  <w:tc>
          <w:tcPr>
            <w:tcW w:w="114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114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6,0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 1. Магистральные трубопроводы транспортировки газа и газового конденсата располагать на расстоянии 2 км от населенных пунктов и вахтовых поселков.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Пластмассовые трубопроводы транспортировки газа и газового конденсата располагать на расстоянии 1 км от населенных пунктов.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Приложение 5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Ориентировочная номенклатура и производстве</w:t>
      </w:r>
      <w:r>
        <w:rPr>
          <w:rFonts w:ascii="Times New Roman" w:hAnsi="Times New Roman"/>
          <w:sz w:val="20"/>
        </w:rPr>
        <w:t xml:space="preserve">нные мощности ПКЗ </w:t>
      </w:r>
    </w:p>
    <w:p w:rsidR="00000000" w:rsidRDefault="00E74F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645"/>
        <w:gridCol w:w="2757"/>
        <w:gridCol w:w="1843"/>
        <w:gridCol w:w="851"/>
        <w:gridCol w:w="850"/>
        <w:gridCol w:w="861"/>
        <w:gridCol w:w="70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№№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пп </w:t>
            </w:r>
          </w:p>
        </w:tc>
        <w:tc>
          <w:tcPr>
            <w:tcW w:w="27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Комплексы и отдельные предприятия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Единица производственной мощности </w:t>
            </w:r>
          </w:p>
        </w:tc>
        <w:tc>
          <w:tcPr>
            <w:tcW w:w="32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Численность обслуживаемого населения тыс. жит.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7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 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5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I. Комплекс предприятий пищевой мясо-молочной и рыбообрабатывающей промышленности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1-1.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757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Мясоперерабатывающий завод </w:t>
            </w:r>
          </w:p>
        </w:tc>
        <w:tc>
          <w:tcPr>
            <w:tcW w:w="184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т/см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704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1-2.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757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Хлебозавод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361" type="#_x0000_t75" style="width:15.75pt;height:17.25pt">
                  <v:imagedata r:id="rId107" o:title=""/>
                </v:shape>
              </w:pict>
            </w:r>
          </w:p>
        </w:tc>
        <w:tc>
          <w:tcPr>
            <w:tcW w:w="184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т/сут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8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704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1-3.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757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Молочный завод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362" type="#_x0000_t75" style="width:15.75pt;height:17.25pt">
                  <v:imagedata r:id="rId107" o:title=""/>
                </v:shape>
              </w:pict>
            </w:r>
          </w:p>
        </w:tc>
        <w:tc>
          <w:tcPr>
            <w:tcW w:w="184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т/см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  <w:tc>
          <w:tcPr>
            <w:tcW w:w="8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 </w:t>
            </w:r>
          </w:p>
        </w:tc>
        <w:tc>
          <w:tcPr>
            <w:tcW w:w="704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1-4.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757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Пивоваренный завод или база розлива пива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млн. дек. в год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Р,12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0,25 </w:t>
            </w:r>
          </w:p>
        </w:tc>
        <w:tc>
          <w:tcPr>
            <w:tcW w:w="8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704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1-5.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757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Завод безалкогольных напитков </w:t>
            </w:r>
          </w:p>
        </w:tc>
        <w:tc>
          <w:tcPr>
            <w:tcW w:w="184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" -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0,10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0,125 </w:t>
            </w:r>
          </w:p>
        </w:tc>
        <w:tc>
          <w:tcPr>
            <w:tcW w:w="8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0,250 </w:t>
            </w:r>
          </w:p>
        </w:tc>
        <w:tc>
          <w:tcPr>
            <w:tcW w:w="704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1-6.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757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Рыбокулинарный завод </w:t>
            </w:r>
          </w:p>
        </w:tc>
        <w:tc>
          <w:tcPr>
            <w:tcW w:w="184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т/сут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85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704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5" w:type="dxa"/>
            <w:gridSpan w:val="7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II. Комплекс торгово-складских предприятий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2-1.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757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Фабрика заготовочная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363" type="#_x0000_t75" style="width:15.75pt;height:17.25pt">
                  <v:imagedata r:id="rId107" o:title=""/>
                </v:shape>
              </w:pict>
            </w:r>
          </w:p>
        </w:tc>
        <w:tc>
          <w:tcPr>
            <w:tcW w:w="184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т/сут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86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69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25-30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2-2.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757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Плодоовощная база (включая овоще-, картофеле- и  фруктохранилище, квасильно-засолочный цехи)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84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тыс. тонн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6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69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15-20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2-3.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2-4.</w:t>
            </w:r>
          </w:p>
        </w:tc>
        <w:tc>
          <w:tcPr>
            <w:tcW w:w="2757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Склад продовольственных товаров (при запасах на 80-120 дней хранения)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Скла</w:t>
            </w:r>
            <w:r>
              <w:rPr>
                <w:rFonts w:ascii="Times New Roman" w:hAnsi="Times New Roman"/>
                <w:sz w:val="20"/>
              </w:rPr>
              <w:t>д промышленных товаров (при запасах на 20 дней хранения)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70"/>
                <w:sz w:val="20"/>
              </w:rPr>
              <w:pict>
                <v:shape id="_x0000_i1364" type="#_x0000_t75" style="width:47.25pt;height:78.75pt">
                  <v:imagedata r:id="rId108" o:title=""/>
                </v:shape>
              </w:pic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8,8 </w:t>
            </w:r>
          </w:p>
        </w:tc>
        <w:tc>
          <w:tcPr>
            <w:tcW w:w="86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13,5 </w:t>
            </w:r>
          </w:p>
        </w:tc>
        <w:tc>
          <w:tcPr>
            <w:tcW w:w="69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20-25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2-5.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757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Холодильник распределительный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365" type="#_x0000_t75" style="width:15.75pt;height:17.25pt">
                  <v:imagedata r:id="rId107" o:title=""/>
                </v:shape>
              </w:pic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тыс. т/единовремен. хранения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  <w:tc>
          <w:tcPr>
            <w:tcW w:w="86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2,0 </w:t>
            </w:r>
          </w:p>
        </w:tc>
        <w:tc>
          <w:tcPr>
            <w:tcW w:w="69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2-6.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757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Завод (цех) по ремонту тары и торгового оборудования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03" w:type="dxa"/>
            <w:gridSpan w:val="5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Мощность определяется в соответствии с заданием на проектирование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505" w:type="dxa"/>
            <w:gridSpan w:val="7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III. Комплекс предприятий бытового обслуживания населения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3-1.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757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Фабрика ремонта и индивидуального пошива обуви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тыс. руб.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160 </w:t>
            </w:r>
          </w:p>
        </w:tc>
        <w:tc>
          <w:tcPr>
            <w:tcW w:w="86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250 </w:t>
            </w:r>
          </w:p>
        </w:tc>
        <w:tc>
          <w:tcPr>
            <w:tcW w:w="69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3-2.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757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Фабрика ремонта, индивидуальн</w:t>
            </w:r>
            <w:r>
              <w:rPr>
                <w:rFonts w:ascii="Times New Roman" w:hAnsi="Times New Roman"/>
                <w:sz w:val="20"/>
              </w:rPr>
              <w:t>ого пошива и вязки трикотажных изделий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 " -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 </w:t>
            </w:r>
          </w:p>
        </w:tc>
        <w:tc>
          <w:tcPr>
            <w:tcW w:w="86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130 </w:t>
            </w:r>
          </w:p>
        </w:tc>
        <w:tc>
          <w:tcPr>
            <w:tcW w:w="69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3-3.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757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Завод по ремонту бытовых машин и приборов, ремонт и изготовление металлоизделий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 " -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86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250 </w:t>
            </w:r>
          </w:p>
        </w:tc>
        <w:tc>
          <w:tcPr>
            <w:tcW w:w="69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3-4.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757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Предприятие по ремонту и изготовлению мебели по индивидуальным заказам населения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" -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75,0 </w:t>
            </w:r>
          </w:p>
        </w:tc>
        <w:tc>
          <w:tcPr>
            <w:tcW w:w="86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69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5-3.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757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Станция технического обслуживания легковых автомобилей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366" type="#_x0000_t75" style="width:15.75pt;height:17.25pt">
                  <v:imagedata r:id="rId107" o:title=""/>
                </v:shape>
              </w:pic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84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постов обслуживания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6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69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5-4.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757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Автозаправочная станция </w:t>
            </w:r>
          </w:p>
        </w:tc>
        <w:tc>
          <w:tcPr>
            <w:tcW w:w="184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заправок/сутки </w:t>
            </w:r>
          </w:p>
        </w:tc>
        <w:tc>
          <w:tcPr>
            <w:tcW w:w="85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</w:tc>
        <w:tc>
          <w:tcPr>
            <w:tcW w:w="8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86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150 </w:t>
            </w:r>
          </w:p>
        </w:tc>
        <w:tc>
          <w:tcPr>
            <w:tcW w:w="698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5-5.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757" w:type="dxa"/>
            <w:tcBorders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Пожарное</w:t>
            </w:r>
            <w:r>
              <w:rPr>
                <w:rFonts w:ascii="Times New Roman" w:hAnsi="Times New Roman"/>
                <w:sz w:val="20"/>
              </w:rPr>
              <w:t xml:space="preserve"> депо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367" type="#_x0000_t75" style="width:15.75pt;height:17.25pt">
                  <v:imagedata r:id="rId107" o:title=""/>
                </v:shape>
              </w:pict>
            </w:r>
          </w:p>
        </w:tc>
        <w:tc>
          <w:tcPr>
            <w:tcW w:w="1843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кол-во машин </w:t>
            </w:r>
          </w:p>
        </w:tc>
        <w:tc>
          <w:tcPr>
            <w:tcW w:w="851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5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по 4 </w:t>
            </w:r>
          </w:p>
        </w:tc>
        <w:tc>
          <w:tcPr>
            <w:tcW w:w="861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по 6 </w:t>
            </w:r>
          </w:p>
        </w:tc>
        <w:tc>
          <w:tcPr>
            <w:tcW w:w="698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по 6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Примечания: 1. Отмеченные значком </w:t>
      </w:r>
      <w:r>
        <w:rPr>
          <w:rFonts w:ascii="Times New Roman" w:hAnsi="Times New Roman"/>
          <w:position w:val="-4"/>
          <w:sz w:val="20"/>
        </w:rPr>
        <w:pict>
          <v:shape id="_x0000_i1368" type="#_x0000_t75" style="width:12pt;height:17.25pt">
            <v:imagedata r:id="rId109" o:title=""/>
          </v:shape>
        </w:pict>
      </w:r>
      <w:r>
        <w:rPr>
          <w:rFonts w:ascii="Times New Roman" w:hAnsi="Times New Roman"/>
          <w:sz w:val="20"/>
        </w:rPr>
        <w:t xml:space="preserve"> предприятия требуют уточнения мощности при составлении задания на проектирование предприятий и последующего согласования его в установленном порядке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К поз. 2-3 и 2-4 приведенные площади хранения продовольственных и промышленных товаров даны с учетом оптового и розничного звена хранения. Их соотношение условно можно принять соответственно как 60% и 40% от общей площади. Склады оптовой торговли следует сосредотачив</w:t>
      </w:r>
      <w:r>
        <w:rPr>
          <w:rFonts w:ascii="Times New Roman" w:hAnsi="Times New Roman"/>
          <w:sz w:val="20"/>
        </w:rPr>
        <w:t>ать в базовых и опорных городах из расчета обслуживания групповой системы населенных мест региона. Склады розничной торговли предназначены для обслуживания населенного пункта по месту их расположения.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 Отмеченные значком </w:t>
      </w:r>
      <w:r>
        <w:rPr>
          <w:rFonts w:ascii="Times New Roman" w:hAnsi="Times New Roman"/>
          <w:position w:val="-4"/>
          <w:sz w:val="20"/>
        </w:rPr>
        <w:pict>
          <v:shape id="_x0000_i1369" type="#_x0000_t75" style="width:15.75pt;height:17.25pt">
            <v:imagedata r:id="rId107" o:title=""/>
          </v:shape>
        </w:pict>
      </w:r>
      <w:r>
        <w:rPr>
          <w:rFonts w:ascii="Times New Roman" w:hAnsi="Times New Roman"/>
          <w:sz w:val="20"/>
        </w:rPr>
        <w:t xml:space="preserve"> предприятия рекомендуются к включению в состав первого пускового комплекса.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Количество машин пожарного депо принято из условия охраны промкомзоны и селитебной территории города.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rPr>
          <w:rFonts w:ascii="Times New Roman" w:hAnsi="Times New Roman"/>
          <w:sz w:val="20"/>
        </w:rPr>
      </w:pPr>
    </w:p>
    <w:p w:rsidR="00000000" w:rsidRDefault="00E74FE9">
      <w:pPr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E74F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370" type="#_x0000_t75" style="width:462.75pt;height:681pt">
            <v:imagedata r:id="rId110" o:title=""/>
          </v:shape>
        </w:pic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6.1. Схематическая карта дорожно-климатического районирования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территории Западно-Сибирского ко</w:t>
      </w:r>
      <w:r>
        <w:rPr>
          <w:rFonts w:ascii="Times New Roman" w:hAnsi="Times New Roman"/>
          <w:sz w:val="20"/>
        </w:rPr>
        <w:t>мплекса.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Условные обозначения к рис. 6.1 приложения 6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Схематическая карта дорожно-климатического районирования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Западно-Сибирского комплекса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180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1770"/>
        <w:gridCol w:w="645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371" type="#_x0000_t75" style="width:65.25pt;height:21pt">
                  <v:imagedata r:id="rId111" o:title=""/>
                </v:shape>
              </w:pict>
            </w:r>
          </w:p>
        </w:tc>
        <w:tc>
          <w:tcPr>
            <w:tcW w:w="6453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 граница территории Западно-Сибирского комплекса;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372" type="#_x0000_t75" style="width:64.5pt;height:32.25pt">
                  <v:imagedata r:id="rId112" o:title=""/>
                </v:shape>
              </w:pict>
            </w:r>
          </w:p>
        </w:tc>
        <w:tc>
          <w:tcPr>
            <w:tcW w:w="6453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 существующие железные дороги;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373" type="#_x0000_t75" style="width:67.5pt;height:21pt">
                  <v:imagedata r:id="rId113" o:title=""/>
                </v:shape>
              </w:pict>
            </w:r>
          </w:p>
        </w:tc>
        <w:tc>
          <w:tcPr>
            <w:tcW w:w="6453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 строящиеся железные дороги;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374" type="#_x0000_t75" style="width:63.75pt;height:29.25pt">
                  <v:imagedata r:id="rId114" o:title=""/>
                </v:shape>
              </w:pict>
            </w:r>
          </w:p>
        </w:tc>
        <w:tc>
          <w:tcPr>
            <w:tcW w:w="6453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 граница районов дорожно-климатического районирования территории Западно-Сибирского комплекса по ВСН 84-85;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375" type="#_x0000_t75" style="width:63.75pt;height:30pt">
                  <v:imagedata r:id="rId115" o:title=""/>
                </v:shape>
              </w:pict>
            </w:r>
          </w:p>
        </w:tc>
        <w:tc>
          <w:tcPr>
            <w:tcW w:w="6453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 южная граница распространения вечномерзлых грунтов;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376" type="#_x0000_t75" style="width:48pt;height:24.75pt">
                  <v:imagedata r:id="rId116" o:title=""/>
                </v:shape>
              </w:pic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53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Северный район низко</w:t>
            </w:r>
            <w:r>
              <w:rPr>
                <w:rFonts w:ascii="Times New Roman" w:hAnsi="Times New Roman"/>
                <w:sz w:val="20"/>
              </w:rPr>
              <w:t>температурных вечномерзлых грунтов сплошного распространения;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377" type="#_x0000_t75" style="width:44.25pt;height:23.25pt">
                  <v:imagedata r:id="rId117" o:title=""/>
                </v:shape>
              </w:pic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53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- Южный район высокотемпературных вечномерзлых грунтов сплошного и островного распространения;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378" type="#_x0000_t75" style="width:30pt;height:18.75pt">
                  <v:imagedata r:id="rId118" o:title=""/>
                </v:shape>
              </w:pic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53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 вторая дорожно-климатическая зона.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Приложение 6 </w:t>
      </w: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По температуре вечномерзлые грунты, используемые для сооружения земляного полотна, разделяются на: низкотемпературные от минус 1,5-2°С и ниже; высокотемпературные выше минус 1,5-2°С.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Тип (категория) грунтов основания железнодорожного земляного полотна, по термопросадочности их при </w:t>
      </w:r>
      <w:r>
        <w:rPr>
          <w:rFonts w:ascii="Times New Roman" w:hAnsi="Times New Roman"/>
          <w:sz w:val="20"/>
        </w:rPr>
        <w:t>оттаивании и величина относительной осадки для основных видов и консистенции  грунтов определяются по показателям табл. 6.1.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6.1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590"/>
        <w:gridCol w:w="2085"/>
        <w:gridCol w:w="2115"/>
        <w:gridCol w:w="29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Тип (категория) грунтов основания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Категории теромпросадочности грунта при оттаивании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Величина относительной осадки оттаивающего грунта 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Основные виды и консистенции грунтов основания при оттаивании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85" w:type="dxa"/>
            <w:tcBorders>
              <w:top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Непросадочные </w:t>
            </w:r>
          </w:p>
        </w:tc>
        <w:tc>
          <w:tcPr>
            <w:tcW w:w="211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6"/>
                <w:sz w:val="20"/>
              </w:rPr>
              <w:pict>
                <v:shape id="_x0000_i1379" type="#_x0000_t75" style="width:20.25pt;height:14.25pt">
                  <v:imagedata r:id="rId1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0,03 </w:t>
            </w:r>
          </w:p>
        </w:tc>
        <w:tc>
          <w:tcPr>
            <w:tcW w:w="291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Скальные, крупнообломочные и песчаные грунты, глинистые грунты твердой и полутвердой консистенции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II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85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Малопросадочные </w:t>
            </w:r>
          </w:p>
        </w:tc>
        <w:tc>
          <w:tcPr>
            <w:tcW w:w="211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0,03 &lt; 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6"/>
                <w:sz w:val="20"/>
              </w:rPr>
              <w:pict>
                <v:shape id="_x0000_i1380" type="#_x0000_t75" style="width:20.25pt;height:14.25pt">
                  <v:imagedata r:id="rId1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0,</w:t>
            </w: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2910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Глинистые грунты тугопластичной, мягкопластичной и текучепластичной консистенции, а также песчаные и крупнообломочные вечномерзлые грунты с глинистым заполнителем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III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85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Просадочные </w:t>
            </w:r>
          </w:p>
        </w:tc>
        <w:tc>
          <w:tcPr>
            <w:tcW w:w="211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0,1 &lt;</w:t>
            </w:r>
            <w:r>
              <w:rPr>
                <w:rFonts w:ascii="Times New Roman" w:hAnsi="Times New Roman"/>
                <w:position w:val="-6"/>
                <w:sz w:val="20"/>
              </w:rPr>
              <w:pict>
                <v:shape id="_x0000_i1381" type="#_x0000_t75" style="width:20.25pt;height:14.25pt">
                  <v:imagedata r:id="rId1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0,4 </w:t>
            </w:r>
          </w:p>
        </w:tc>
        <w:tc>
          <w:tcPr>
            <w:tcW w:w="2910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Торфяные грунты и глинистые текучепластичной и текучей консистенции, крупнообломочные или песчаные вечномерзлые грунты при наличии прослоек и льда толщиной до 0,1 м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9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IV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85" w:type="dxa"/>
            <w:tcBorders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Сильнопросадочные </w:t>
            </w:r>
          </w:p>
        </w:tc>
        <w:tc>
          <w:tcPr>
            <w:tcW w:w="211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6"/>
                <w:sz w:val="20"/>
              </w:rPr>
              <w:pict>
                <v:shape id="_x0000_i1382" type="#_x0000_t75" style="width:9.75pt;height:14.25pt">
                  <v:imagedata r:id="rId11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&gt; 0,4 </w:t>
            </w:r>
          </w:p>
        </w:tc>
        <w:tc>
          <w:tcPr>
            <w:tcW w:w="291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Глинистые грунты текучей консистенции и торфяные отложения, в том числе крупнообломочные и песчаные грун</w:t>
            </w:r>
            <w:r>
              <w:rPr>
                <w:rFonts w:ascii="Times New Roman" w:hAnsi="Times New Roman"/>
                <w:sz w:val="20"/>
              </w:rPr>
              <w:t>ты с наличием подземного льда толщиной более 0,1 м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Примечание. Относительная осадка </w:t>
      </w:r>
      <w:r>
        <w:rPr>
          <w:rFonts w:ascii="Times New Roman" w:hAnsi="Times New Roman"/>
          <w:position w:val="-6"/>
          <w:sz w:val="20"/>
        </w:rPr>
        <w:pict>
          <v:shape id="_x0000_i1383" type="#_x0000_t75" style="width:9.75pt;height:14.25pt">
            <v:imagedata r:id="rId119" o:title=""/>
          </v:shape>
        </w:pict>
      </w:r>
      <w:r>
        <w:rPr>
          <w:rFonts w:ascii="Times New Roman" w:hAnsi="Times New Roman"/>
          <w:sz w:val="20"/>
        </w:rPr>
        <w:t xml:space="preserve"> определяется расчетом по СНиП II-18-76 и по данным инженерно-геологических исследований грунтов.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По степени пригодности мерзлых песчаных грунтов для сооружения земляного полотна следует различать сыпучемерзлые (с суммарной влажностью 0,3%), сухомерзлые (3-6%), твердомерзлые (6-17/20/%), льдонасыщенные (20-33/38/%) грунты и льдогрунтовую массу (38-100%). Основные характеристики мерзлых песчаных грунтов приведены в та</w:t>
      </w:r>
      <w:r>
        <w:rPr>
          <w:rFonts w:ascii="Times New Roman" w:hAnsi="Times New Roman"/>
          <w:sz w:val="20"/>
        </w:rPr>
        <w:t>бл. 6.2.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6.2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400"/>
        <w:gridCol w:w="1200"/>
        <w:gridCol w:w="1200"/>
        <w:gridCol w:w="1170"/>
        <w:gridCol w:w="1185"/>
        <w:gridCol w:w="153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Характеристики мерзлых грунтов </w:t>
            </w:r>
          </w:p>
        </w:tc>
        <w:tc>
          <w:tcPr>
            <w:tcW w:w="47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Грунты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3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Льдогрунтовая масса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сыпуче- мерзлые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сухо- мерзлые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твердо- мерзлые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льдона- сыщенные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153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Суммарная влажность (льдистость), %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0-3 </w:t>
            </w:r>
          </w:p>
        </w:tc>
        <w:tc>
          <w:tcPr>
            <w:tcW w:w="12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3-6 </w:t>
            </w:r>
          </w:p>
        </w:tc>
        <w:tc>
          <w:tcPr>
            <w:tcW w:w="11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7-17/20/ </w:t>
            </w:r>
          </w:p>
        </w:tc>
        <w:tc>
          <w:tcPr>
            <w:tcW w:w="11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21-38 </w:t>
            </w:r>
          </w:p>
        </w:tc>
        <w:tc>
          <w:tcPr>
            <w:tcW w:w="153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38-39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Степень водонасыщения (льдонасыщения)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0-0,01 </w:t>
            </w:r>
          </w:p>
        </w:tc>
        <w:tc>
          <w:tcPr>
            <w:tcW w:w="12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0,01-0,1 </w:t>
            </w:r>
          </w:p>
        </w:tc>
        <w:tc>
          <w:tcPr>
            <w:tcW w:w="11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0,1-0,8 </w:t>
            </w:r>
          </w:p>
        </w:tc>
        <w:tc>
          <w:tcPr>
            <w:tcW w:w="11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0,8-0,9 </w:t>
            </w:r>
          </w:p>
        </w:tc>
        <w:tc>
          <w:tcPr>
            <w:tcW w:w="153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Коэффициент пористости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0,48-0,63 </w:t>
            </w:r>
          </w:p>
        </w:tc>
        <w:tc>
          <w:tcPr>
            <w:tcW w:w="12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0,05-0,66 </w:t>
            </w:r>
          </w:p>
        </w:tc>
        <w:tc>
          <w:tcPr>
            <w:tcW w:w="11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0,56-0,71 </w:t>
            </w:r>
          </w:p>
        </w:tc>
        <w:tc>
          <w:tcPr>
            <w:tcW w:w="11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0,71-0,90 </w:t>
            </w:r>
          </w:p>
        </w:tc>
        <w:tc>
          <w:tcPr>
            <w:tcW w:w="153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Коэффициент просадочности при оттаивании (термопросадочность)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 </w:t>
            </w:r>
          </w:p>
        </w:tc>
        <w:tc>
          <w:tcPr>
            <w:tcW w:w="12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0-0,01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1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0,01-0,04 </w:t>
            </w:r>
          </w:p>
        </w:tc>
        <w:tc>
          <w:tcPr>
            <w:tcW w:w="11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0,05-0,20 </w:t>
            </w:r>
          </w:p>
        </w:tc>
        <w:tc>
          <w:tcPr>
            <w:tcW w:w="153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Тип льдацемента (криогенная структура)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контактный </w:t>
            </w:r>
          </w:p>
        </w:tc>
        <w:tc>
          <w:tcPr>
            <w:tcW w:w="12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контактный и пленочный </w:t>
            </w:r>
          </w:p>
        </w:tc>
        <w:tc>
          <w:tcPr>
            <w:tcW w:w="11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пленочный и поровый </w:t>
            </w:r>
          </w:p>
        </w:tc>
        <w:tc>
          <w:tcPr>
            <w:tcW w:w="11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поровый и базальный </w:t>
            </w:r>
          </w:p>
        </w:tc>
        <w:tc>
          <w:tcPr>
            <w:tcW w:w="153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базальный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Тип криогенной текстуры (преимущественно)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массивная </w:t>
            </w:r>
          </w:p>
        </w:tc>
        <w:tc>
          <w:tcPr>
            <w:tcW w:w="11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массивная </w:t>
            </w:r>
          </w:p>
        </w:tc>
        <w:tc>
          <w:tcPr>
            <w:tcW w:w="11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массивная, редко слоистая и сетчатая </w:t>
            </w:r>
          </w:p>
        </w:tc>
        <w:tc>
          <w:tcPr>
            <w:tcW w:w="153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сетчатая (блоковая)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Прочность на раздавливание, МПа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0-1 </w:t>
            </w:r>
          </w:p>
        </w:tc>
        <w:tc>
          <w:tcPr>
            <w:tcW w:w="11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1-30 </w:t>
            </w:r>
          </w:p>
        </w:tc>
        <w:tc>
          <w:tcPr>
            <w:tcW w:w="11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9-20 </w:t>
            </w:r>
          </w:p>
        </w:tc>
        <w:tc>
          <w:tcPr>
            <w:tcW w:w="153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9-15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Прочность по ударнику Союздорнии (при температуре -5°С)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2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117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10-200 </w:t>
            </w:r>
          </w:p>
        </w:tc>
        <w:tc>
          <w:tcPr>
            <w:tcW w:w="11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100-200 </w:t>
            </w:r>
          </w:p>
        </w:tc>
        <w:tc>
          <w:tcPr>
            <w:tcW w:w="153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100-150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 по СНиП II-18-76 и ГОСТ 25100-82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сыпуче- мерзлый </w:t>
            </w:r>
          </w:p>
        </w:tc>
        <w:tc>
          <w:tcPr>
            <w:tcW w:w="120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твердо- мерзлый </w:t>
            </w:r>
          </w:p>
        </w:tc>
        <w:tc>
          <w:tcPr>
            <w:tcW w:w="117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8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пластично- мерзлый </w:t>
            </w:r>
          </w:p>
        </w:tc>
        <w:tc>
          <w:tcPr>
            <w:tcW w:w="153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</w:tbl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6.3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Осадки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оснований насыпей, высотой до 2 м на типичных ландшафтах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Западно-Сибирского региона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405"/>
        <w:gridCol w:w="1710"/>
        <w:gridCol w:w="1710"/>
        <w:gridCol w:w="1695"/>
        <w:gridCol w:w="15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340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Ландшафты, типичные грунты, тип мерзлоты и мощность мохово-растительного покрова </w:t>
            </w:r>
          </w:p>
        </w:tc>
        <w:tc>
          <w:tcPr>
            <w:tcW w:w="51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Осадки по состоянию,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строительный период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2 год эксплуатации </w:t>
            </w:r>
          </w:p>
        </w:tc>
        <w:tc>
          <w:tcPr>
            <w:tcW w:w="171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3 год эксплуатации (расчетная)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ТУНДРОВЫЙ, на моренных суглинках, со сливающейся мерзлотой и покровом мощностью до 5-10 см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5-12 </w:t>
            </w:r>
          </w:p>
        </w:tc>
        <w:tc>
          <w:tcPr>
            <w:tcW w:w="171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8-14 </w:t>
            </w:r>
          </w:p>
        </w:tc>
        <w:tc>
          <w:tcPr>
            <w:tcW w:w="1710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10-16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ТУНДРОВЫЙ, на покровных суг</w:t>
            </w:r>
            <w:r>
              <w:rPr>
                <w:rFonts w:ascii="Times New Roman" w:hAnsi="Times New Roman"/>
                <w:sz w:val="20"/>
              </w:rPr>
              <w:t>линках и супесях, со сливающейся мерзлотой и покровом мощностью 10-35 см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15-23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20-29 </w:t>
            </w: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25-32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ТУНДРОВЫЙ, на торфе мощностью до 100 см со сливающейся мерзлотой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15-22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20-24 </w:t>
            </w: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20-27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ЛЕСОТУНДРОВЫЙ, на покровных суглинках и супесях, с несливающейся мерзлотой и покровом мощностью 10-45 см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15-21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20-26 </w:t>
            </w: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20-28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ЛУГОВОЙ, на аллювиальных суглинках и супесях, с несливающейся мерзлотой и дерновым покровом мощностью 5-20 см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20-29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25-33 </w:t>
            </w:r>
          </w:p>
        </w:tc>
        <w:tc>
          <w:tcPr>
            <w:tcW w:w="1710" w:type="dxa"/>
            <w:gridSpan w:val="2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26-35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0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БОЛОТНЫЙ, на овражно-аллювиальных суглинках и супес</w:t>
            </w:r>
            <w:r>
              <w:rPr>
                <w:rFonts w:ascii="Times New Roman" w:hAnsi="Times New Roman"/>
                <w:sz w:val="20"/>
              </w:rPr>
              <w:t>ях, с торфом мощностью до 100 см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37-45 </w:t>
            </w:r>
          </w:p>
        </w:tc>
        <w:tc>
          <w:tcPr>
            <w:tcW w:w="17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50-58 </w:t>
            </w:r>
          </w:p>
        </w:tc>
        <w:tc>
          <w:tcPr>
            <w:tcW w:w="1710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55-62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Меньшее значение осадок применяют при отсыпке насыпей в зимний период (ноябрь-апрель), а большее - в летне-осенний (май-октябрь).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Крутизна откосов насыпей определяется из условий общей и местной устойчивости земляного полотна с учетом результатов лабораторных исследований грунтов и принимается по табл. 6.4.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6.4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6390"/>
        <w:gridCol w:w="20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Грунты для отсыпки насыпей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Крутизна откоса насыпей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9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Пески среднезернистые на всю высоту насыпи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08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 xml:space="preserve">:1,5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9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Пески мелкие однородные и пылеватые для отсыпки в верхней части насыпи (выше капиллярного поднятия)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08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1:1,75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9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Пески среднезернистые для отсыпки нижней части насыпей (на высоту капиллярного поднятия) на сырых и мокрых основаниях, представленных малопросадочными грунтами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08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1:2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9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Пески мелкие пылеватые для отсыпки нижней части насыпи на сырых и мокрых, сильнопросадочных основаниях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08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1:3 </w:t>
            </w:r>
          </w:p>
        </w:tc>
      </w:tr>
    </w:tbl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6.5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520"/>
        <w:gridCol w:w="2835"/>
        <w:gridCol w:w="313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Тип местности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Условия увлажнения 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Характерные признаки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31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1-й - сухие места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</w:t>
            </w:r>
            <w:r>
              <w:rPr>
                <w:rFonts w:ascii="Times New Roman" w:hAnsi="Times New Roman"/>
                <w:sz w:val="20"/>
              </w:rPr>
              <w:t>ез избыточного увлажнения. Поверхностный сток обеспечен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13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Каменистые возвышенности, крутые склоны сопок, песчаные и гравийно-галечные косы с мощностью сезоннооттаивающего слоя более 2,5 м 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313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Грунты гравийно-галечниковые, песчаные, а также супесчаные, глинистые непросадочные с влажностью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W</w:t>
            </w: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384" type="#_x0000_t75" style="width:17.25pt;height:15.75pt">
                  <v:imagedata r:id="rId18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&lt; 0,77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2-й - сырые места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Избыточное увлажнение в отдельные периоды года. Поверхностный сток не обеспечен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135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Плоские водоразделы, пологие склоны гор и их шлейфы с мощностью сезоннооттаивающего слоя от 1,0 до 2,</w:t>
            </w:r>
            <w:r>
              <w:rPr>
                <w:rFonts w:ascii="Times New Roman" w:hAnsi="Times New Roman"/>
                <w:sz w:val="20"/>
              </w:rPr>
              <w:t>5 м. Грунты глинистые просадочные с влажностью W</w:t>
            </w: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385" type="#_x0000_t75" style="width:17.25pt;height:15.75pt">
                  <v:imagedata r:id="rId18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=0,77+1,0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2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3-й - мокрые места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Постоянное избыточное увлажнение. Водоотвод не обеспечен. Надмерзлотные и длительно стоящие (более 20 суток) поверхностные воды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13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Мари, заболоченные тальвеги, замкнутые впадины с развитым мохо-торфяным покровом и малой мощностью (до 1 м) сезоннооттаивающего слоя. Грунты глинистые сильно просадочные с W</w:t>
            </w: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386" type="#_x0000_t75" style="width:17.25pt;height:15.75pt">
                  <v:imagedata r:id="rId18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&gt; 1, содержащие в пределах двойной мощности сезоннооттаивающего слоя линзы льда толщиной более 10 см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6.6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835"/>
        <w:gridCol w:w="2835"/>
        <w:gridCol w:w="283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Градус</w:t>
            </w:r>
            <w:r>
              <w:rPr>
                <w:rFonts w:ascii="Times New Roman" w:hAnsi="Times New Roman"/>
                <w:sz w:val="20"/>
              </w:rPr>
              <w:t xml:space="preserve"> северной широты </w:t>
            </w: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Возвышение поверхности покрытия над уровнем земли и на участках проектирования по принципу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первому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второму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3,5-3,3 </w:t>
            </w:r>
          </w:p>
        </w:tc>
        <w:tc>
          <w:tcPr>
            <w:tcW w:w="283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2,7-2,4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2,7-2,5 </w:t>
            </w: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2,0-1,7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2,4-2,2 </w:t>
            </w:r>
          </w:p>
        </w:tc>
        <w:tc>
          <w:tcPr>
            <w:tcW w:w="283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1,6-1,4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83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2,0-1,8 </w:t>
            </w:r>
          </w:p>
        </w:tc>
        <w:tc>
          <w:tcPr>
            <w:tcW w:w="283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1,3-1,0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Меньшие значения даны для асфальтобетонных, большие - для цементнобетонных покрытий.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6.7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30"/>
        <w:gridCol w:w="1065"/>
        <w:gridCol w:w="1065"/>
        <w:gridCol w:w="1065"/>
        <w:gridCol w:w="1065"/>
        <w:gridCol w:w="1065"/>
        <w:gridCol w:w="106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Высота насыпи, м </w:t>
            </w:r>
          </w:p>
        </w:tc>
        <w:tc>
          <w:tcPr>
            <w:tcW w:w="639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Толщина, см, теплоизолирующего слоя в основании насыпи из пенополистирола (пенопласта) марки 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ПС-1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ПС-4 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ПС-5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ПС-18 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ПС-254 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ПСБ-СГ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4,5 </w:t>
            </w:r>
          </w:p>
        </w:tc>
        <w:tc>
          <w:tcPr>
            <w:tcW w:w="106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4,5 </w:t>
            </w:r>
          </w:p>
        </w:tc>
        <w:tc>
          <w:tcPr>
            <w:tcW w:w="106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106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106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106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106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8,0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10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106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3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6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10,0 </w:t>
            </w:r>
          </w:p>
        </w:tc>
        <w:tc>
          <w:tcPr>
            <w:tcW w:w="106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106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106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106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106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</w:tr>
    </w:tbl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6.8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710"/>
        <w:gridCol w:w="1710"/>
        <w:gridCol w:w="1710"/>
        <w:gridCol w:w="1710"/>
        <w:gridCol w:w="17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Тип местности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Относительная влажность грунтов основания от предела текучести, в долях единицы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Коэффициент консистенции грунтов 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Грунты основания 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Строительная осадка грунтов основания, см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Сухие места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&lt; 0,77 </w:t>
            </w:r>
          </w:p>
        </w:tc>
        <w:tc>
          <w:tcPr>
            <w:tcW w:w="171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&lt; 0,5 </w:t>
            </w:r>
          </w:p>
        </w:tc>
        <w:tc>
          <w:tcPr>
            <w:tcW w:w="1710" w:type="dxa"/>
            <w:tcBorders>
              <w:top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Глина пылеватая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Суглинок пылеватый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Супесь легкая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Песок пылеватый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Сырые места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0,77-1,0 </w:t>
            </w:r>
          </w:p>
        </w:tc>
        <w:tc>
          <w:tcPr>
            <w:tcW w:w="17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0,5-1,0 </w:t>
            </w:r>
          </w:p>
        </w:tc>
        <w:tc>
          <w:tcPr>
            <w:tcW w:w="1710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Глина пылеватая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Суглинок пылеватый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Супесь легкая, пылеватая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Песок пылеватый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Мокрые места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&gt; 1,0 </w:t>
            </w:r>
          </w:p>
        </w:tc>
        <w:tc>
          <w:tcPr>
            <w:tcW w:w="17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&gt; 1,0 </w:t>
            </w:r>
          </w:p>
        </w:tc>
        <w:tc>
          <w:tcPr>
            <w:tcW w:w="1710" w:type="dxa"/>
            <w:tcBorders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Глина пылеватая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Суглинок пылеватый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Супесь тяжелая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Песок пылеватый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6.9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276"/>
        <w:gridCol w:w="966"/>
        <w:gridCol w:w="976"/>
        <w:gridCol w:w="888"/>
        <w:gridCol w:w="71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Категории термопро- садочности </w:t>
            </w:r>
          </w:p>
        </w:tc>
        <w:tc>
          <w:tcPr>
            <w:tcW w:w="15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Относительная просадочность  </w:t>
            </w:r>
          </w:p>
        </w:tc>
        <w:tc>
          <w:tcPr>
            <w:tcW w:w="1276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Льдистость грунта </w:t>
            </w:r>
          </w:p>
        </w:tc>
        <w:tc>
          <w:tcPr>
            <w:tcW w:w="35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Суммарная влажность грунта сезонноталого слоя в долях един.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грунтов при оттаивании </w:t>
            </w:r>
          </w:p>
        </w:tc>
        <w:tc>
          <w:tcPr>
            <w:tcW w:w="1559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долях един.</w:t>
            </w:r>
          </w:p>
        </w:tc>
        <w:tc>
          <w:tcPr>
            <w:tcW w:w="1276" w:type="dxa"/>
            <w:tcBorders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пески мелкие 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пески пыле- ватые; супеси легкие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супеси 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</w:t>
            </w:r>
            <w:r>
              <w:rPr>
                <w:rFonts w:ascii="Times New Roman" w:hAnsi="Times New Roman"/>
                <w:sz w:val="20"/>
              </w:rPr>
              <w:t xml:space="preserve">орф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 - непросадочные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0-0,01 </w:t>
            </w:r>
          </w:p>
        </w:tc>
        <w:tc>
          <w:tcPr>
            <w:tcW w:w="1276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Без ледяных включений (0-0,01)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6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&lt; 0,18 </w:t>
            </w:r>
          </w:p>
        </w:tc>
        <w:tc>
          <w:tcPr>
            <w:tcW w:w="9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&lt; 0,2 </w:t>
            </w:r>
          </w:p>
        </w:tc>
        <w:tc>
          <w:tcPr>
            <w:tcW w:w="88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&lt; 0,2 </w:t>
            </w:r>
          </w:p>
        </w:tc>
        <w:tc>
          <w:tcPr>
            <w:tcW w:w="713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II - малопросадочные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0,01-0,1 </w:t>
            </w:r>
          </w:p>
        </w:tc>
        <w:tc>
          <w:tcPr>
            <w:tcW w:w="1276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Малольдистый (0,01-0,1)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6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0,18-0,25 </w:t>
            </w:r>
          </w:p>
        </w:tc>
        <w:tc>
          <w:tcPr>
            <w:tcW w:w="9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0,2-0,4 </w:t>
            </w:r>
          </w:p>
        </w:tc>
        <w:tc>
          <w:tcPr>
            <w:tcW w:w="88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0,2-0,4 </w:t>
            </w:r>
          </w:p>
        </w:tc>
        <w:tc>
          <w:tcPr>
            <w:tcW w:w="713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&lt; 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III - просадочные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0,1-0,4 </w:t>
            </w:r>
          </w:p>
        </w:tc>
        <w:tc>
          <w:tcPr>
            <w:tcW w:w="1276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Льдистый (0,1-0,4)</w:t>
            </w:r>
          </w:p>
        </w:tc>
        <w:tc>
          <w:tcPr>
            <w:tcW w:w="96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&gt; 0,25 </w:t>
            </w:r>
          </w:p>
        </w:tc>
        <w:tc>
          <w:tcPr>
            <w:tcW w:w="9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&gt; 0,4 </w:t>
            </w:r>
          </w:p>
        </w:tc>
        <w:tc>
          <w:tcPr>
            <w:tcW w:w="88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0,4-1,1 </w:t>
            </w:r>
          </w:p>
        </w:tc>
        <w:tc>
          <w:tcPr>
            <w:tcW w:w="713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2-12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IV - сильнопросадочные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0,4-0,6 </w:t>
            </w:r>
          </w:p>
        </w:tc>
        <w:tc>
          <w:tcPr>
            <w:tcW w:w="1276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Сильнольдистый (0,4-0,6)</w:t>
            </w:r>
          </w:p>
        </w:tc>
        <w:tc>
          <w:tcPr>
            <w:tcW w:w="96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8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&gt; 1,1 </w:t>
            </w:r>
          </w:p>
        </w:tc>
        <w:tc>
          <w:tcPr>
            <w:tcW w:w="713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&gt; 12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27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 - чрезмерно- просадочные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0,6-1,0 </w:t>
            </w:r>
          </w:p>
        </w:tc>
        <w:tc>
          <w:tcPr>
            <w:tcW w:w="1276" w:type="dxa"/>
            <w:tcBorders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 крупными включениями подземного льда (0,6-1,0)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66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76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88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&gt; 1,1 </w:t>
            </w:r>
          </w:p>
        </w:tc>
        <w:tc>
          <w:tcPr>
            <w:tcW w:w="713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&gt; 12 </w:t>
            </w:r>
          </w:p>
        </w:tc>
      </w:tr>
    </w:tbl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6.10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870"/>
        <w:gridCol w:w="1380"/>
        <w:gridCol w:w="1425"/>
        <w:gridCol w:w="147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87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Грунты </w:t>
            </w:r>
          </w:p>
        </w:tc>
        <w:tc>
          <w:tcPr>
            <w:tcW w:w="4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Допустимая</w:t>
            </w:r>
            <w:r>
              <w:rPr>
                <w:rFonts w:ascii="Times New Roman" w:hAnsi="Times New Roman"/>
                <w:sz w:val="20"/>
              </w:rPr>
              <w:t xml:space="preserve"> относительная влажность при требуемом коэффициенте уплотнения от оптимальной в долях единицы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1-0,98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Супеси легкие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38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1,2 </w:t>
            </w:r>
          </w:p>
        </w:tc>
        <w:tc>
          <w:tcPr>
            <w:tcW w:w="142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 </w:t>
            </w:r>
          </w:p>
        </w:tc>
        <w:tc>
          <w:tcPr>
            <w:tcW w:w="147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Суглинки легкие пылеватые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38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1,15 </w:t>
            </w:r>
          </w:p>
        </w:tc>
        <w:tc>
          <w:tcPr>
            <w:tcW w:w="14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1,25 </w:t>
            </w:r>
          </w:p>
        </w:tc>
        <w:tc>
          <w:tcPr>
            <w:tcW w:w="147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0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Глины тяжелые и тяжелые пылеватые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38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1,1 </w:t>
            </w:r>
          </w:p>
        </w:tc>
        <w:tc>
          <w:tcPr>
            <w:tcW w:w="14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1,2 </w:t>
            </w:r>
          </w:p>
        </w:tc>
        <w:tc>
          <w:tcPr>
            <w:tcW w:w="147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87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Глины пылеватые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38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1,05 </w:t>
            </w:r>
          </w:p>
        </w:tc>
        <w:tc>
          <w:tcPr>
            <w:tcW w:w="142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1,15 </w:t>
            </w:r>
          </w:p>
        </w:tc>
        <w:tc>
          <w:tcPr>
            <w:tcW w:w="147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1,2 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Оптимальную влажность (W</w:t>
      </w:r>
      <w:r>
        <w:rPr>
          <w:rFonts w:ascii="Times New Roman" w:hAnsi="Times New Roman"/>
          <w:position w:val="-10"/>
          <w:sz w:val="20"/>
        </w:rPr>
        <w:pict>
          <v:shape id="_x0000_i1387" type="#_x0000_t75" style="width:18pt;height:15.75pt">
            <v:imagedata r:id="rId120" o:title=""/>
          </v:shape>
        </w:pict>
      </w:r>
      <w:r>
        <w:rPr>
          <w:rFonts w:ascii="Times New Roman" w:hAnsi="Times New Roman"/>
          <w:sz w:val="20"/>
        </w:rPr>
        <w:t>) можно определить по формулам: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супесь легкая W</w:t>
      </w:r>
      <w:r>
        <w:rPr>
          <w:rFonts w:ascii="Times New Roman" w:hAnsi="Times New Roman"/>
          <w:position w:val="-10"/>
          <w:sz w:val="20"/>
        </w:rPr>
        <w:pict>
          <v:shape id="_x0000_i1388" type="#_x0000_t75" style="width:18pt;height:15.75pt">
            <v:imagedata r:id="rId120" o:title=""/>
          </v:shape>
        </w:pict>
      </w:r>
      <w:r>
        <w:rPr>
          <w:rFonts w:ascii="Times New Roman" w:hAnsi="Times New Roman"/>
          <w:sz w:val="20"/>
        </w:rPr>
        <w:t>= 0,7 W</w:t>
      </w:r>
      <w:r>
        <w:rPr>
          <w:rFonts w:ascii="Times New Roman" w:hAnsi="Times New Roman"/>
          <w:position w:val="-10"/>
          <w:sz w:val="20"/>
        </w:rPr>
        <w:pict>
          <v:shape id="_x0000_i1389" type="#_x0000_t75" style="width:9.75pt;height:15.75pt">
            <v:imagedata r:id="rId121" o:title=""/>
          </v:shape>
        </w:pict>
      </w:r>
      <w:r>
        <w:rPr>
          <w:rFonts w:ascii="Times New Roman" w:hAnsi="Times New Roman"/>
          <w:sz w:val="20"/>
        </w:rPr>
        <w:t>; суглинок легкий пылеватый - W</w:t>
      </w:r>
      <w:r>
        <w:rPr>
          <w:rFonts w:ascii="Times New Roman" w:hAnsi="Times New Roman"/>
          <w:position w:val="-10"/>
          <w:sz w:val="20"/>
        </w:rPr>
        <w:pict>
          <v:shape id="_x0000_i1390" type="#_x0000_t75" style="width:18pt;height:15.75pt">
            <v:imagedata r:id="rId120" o:title=""/>
          </v:shape>
        </w:pict>
      </w:r>
      <w:r>
        <w:rPr>
          <w:rFonts w:ascii="Times New Roman" w:hAnsi="Times New Roman"/>
          <w:sz w:val="20"/>
        </w:rPr>
        <w:t>= 0,6 W</w:t>
      </w:r>
      <w:r>
        <w:rPr>
          <w:rFonts w:ascii="Times New Roman" w:hAnsi="Times New Roman"/>
          <w:position w:val="-10"/>
          <w:sz w:val="20"/>
        </w:rPr>
        <w:pict>
          <v:shape id="_x0000_i1391" type="#_x0000_t75" style="width:9.75pt;height:15.75pt">
            <v:imagedata r:id="rId121" o:title=""/>
          </v:shape>
        </w:pict>
      </w:r>
      <w:r>
        <w:rPr>
          <w:rFonts w:ascii="Times New Roman" w:hAnsi="Times New Roman"/>
          <w:sz w:val="20"/>
        </w:rPr>
        <w:t>; суглинок тяжелый, глина пылеватая - W</w:t>
      </w:r>
      <w:r>
        <w:rPr>
          <w:rFonts w:ascii="Times New Roman" w:hAnsi="Times New Roman"/>
          <w:position w:val="-10"/>
          <w:sz w:val="20"/>
        </w:rPr>
        <w:pict>
          <v:shape id="_x0000_i1392" type="#_x0000_t75" style="width:18pt;height:15.75pt">
            <v:imagedata r:id="rId120" o:title=""/>
          </v:shape>
        </w:pict>
      </w:r>
      <w:r>
        <w:rPr>
          <w:rFonts w:ascii="Times New Roman" w:hAnsi="Times New Roman"/>
          <w:sz w:val="20"/>
        </w:rPr>
        <w:t xml:space="preserve"> = 0,55 W</w:t>
      </w:r>
      <w:r>
        <w:rPr>
          <w:rFonts w:ascii="Times New Roman" w:hAnsi="Times New Roman"/>
          <w:position w:val="-10"/>
          <w:sz w:val="20"/>
        </w:rPr>
        <w:pict>
          <v:shape id="_x0000_i1393" type="#_x0000_t75" style="width:9.75pt;height:15.75pt">
            <v:imagedata r:id="rId121" o:title=""/>
          </v:shape>
        </w:pict>
      </w:r>
      <w:r>
        <w:rPr>
          <w:rFonts w:ascii="Times New Roman" w:hAnsi="Times New Roman"/>
          <w:sz w:val="20"/>
        </w:rPr>
        <w:t>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По технологической п</w:t>
      </w:r>
      <w:r>
        <w:rPr>
          <w:rFonts w:ascii="Times New Roman" w:hAnsi="Times New Roman"/>
          <w:sz w:val="20"/>
        </w:rPr>
        <w:t>ригодности для сооружения земляного полотна используются мерзлые песчаные, глинистые и торфяные грунты.  Криогенная характеристика песчаных грунтов и условия их разработки приводятся в проекте ВСН 84-85, табл. 6.11-6.12.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6.11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725"/>
        <w:gridCol w:w="1215"/>
        <w:gridCol w:w="1245"/>
        <w:gridCol w:w="990"/>
        <w:gridCol w:w="1185"/>
        <w:gridCol w:w="1011"/>
        <w:gridCol w:w="113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Разновидность песчаных грунтов по степени цементации льдом и льдистости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Суммарная влажность по СНиП II-18-76, %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Степень заполнения льдом и водой пор мерзлых грунтов по СНиП II-18-76, доли ед.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Коэффи- циент порис- тости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Коэф. проса- дочности при оттаивании 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Криогенна</w:t>
            </w:r>
            <w:r>
              <w:rPr>
                <w:rFonts w:ascii="Times New Roman" w:hAnsi="Times New Roman"/>
                <w:sz w:val="20"/>
              </w:rPr>
              <w:t xml:space="preserve">я текстура по СНиП II-18-76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Степень влажности при оттаивании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Сыпучемерзлый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1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124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0,0-0,01 </w:t>
            </w:r>
          </w:p>
        </w:tc>
        <w:tc>
          <w:tcPr>
            <w:tcW w:w="99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0,48-0,63 </w:t>
            </w:r>
          </w:p>
        </w:tc>
        <w:tc>
          <w:tcPr>
            <w:tcW w:w="118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 </w:t>
            </w:r>
          </w:p>
        </w:tc>
        <w:tc>
          <w:tcPr>
            <w:tcW w:w="1011" w:type="dxa"/>
            <w:tcBorders>
              <w:top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отсутствует </w:t>
            </w:r>
          </w:p>
        </w:tc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воздушно- сухой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Сухомерзлый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1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3-7 </w:t>
            </w:r>
          </w:p>
        </w:tc>
        <w:tc>
          <w:tcPr>
            <w:tcW w:w="124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0,01-0,1 </w:t>
            </w:r>
          </w:p>
        </w:tc>
        <w:tc>
          <w:tcPr>
            <w:tcW w:w="99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0,5-0,66 </w:t>
            </w:r>
          </w:p>
        </w:tc>
        <w:tc>
          <w:tcPr>
            <w:tcW w:w="11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0-0,01 </w:t>
            </w:r>
          </w:p>
        </w:tc>
        <w:tc>
          <w:tcPr>
            <w:tcW w:w="1011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массивная </w:t>
            </w: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маловлаж- ный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Твердомерзлый малольдистый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1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7-22 </w:t>
            </w:r>
          </w:p>
        </w:tc>
        <w:tc>
          <w:tcPr>
            <w:tcW w:w="124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0,1-0,8 </w:t>
            </w:r>
          </w:p>
        </w:tc>
        <w:tc>
          <w:tcPr>
            <w:tcW w:w="99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0,56-0,71 </w:t>
            </w:r>
          </w:p>
        </w:tc>
        <w:tc>
          <w:tcPr>
            <w:tcW w:w="11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0,01-0,04 </w:t>
            </w:r>
          </w:p>
        </w:tc>
        <w:tc>
          <w:tcPr>
            <w:tcW w:w="1011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массивная и слоисто-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сетчатая </w:t>
            </w:r>
          </w:p>
        </w:tc>
        <w:tc>
          <w:tcPr>
            <w:tcW w:w="1134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маловлаж- ный и влажный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2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Пластично- мерзлый и льдистый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1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124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0,8 </w:t>
            </w:r>
          </w:p>
        </w:tc>
        <w:tc>
          <w:tcPr>
            <w:tcW w:w="99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0,71 </w:t>
            </w:r>
          </w:p>
        </w:tc>
        <w:tc>
          <w:tcPr>
            <w:tcW w:w="118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0,04 </w:t>
            </w:r>
          </w:p>
        </w:tc>
        <w:tc>
          <w:tcPr>
            <w:tcW w:w="1011" w:type="dxa"/>
            <w:tcBorders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слоисто- сетчатая </w:t>
            </w:r>
          </w:p>
        </w:tc>
        <w:tc>
          <w:tcPr>
            <w:tcW w:w="1134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водонасы- щенный </w:t>
            </w:r>
          </w:p>
        </w:tc>
      </w:tr>
    </w:tbl>
    <w:p w:rsidR="00000000" w:rsidRDefault="00E74FE9">
      <w:pPr>
        <w:jc w:val="right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6.12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7"/>
        <w:gridCol w:w="1276"/>
        <w:gridCol w:w="1296"/>
        <w:gridCol w:w="1256"/>
        <w:gridCol w:w="1213"/>
        <w:gridCol w:w="1156"/>
        <w:gridCol w:w="101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57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Разно- видность мерзлых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Условия разработки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Содержание мерзлых комьев 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Условия применения </w:t>
            </w:r>
          </w:p>
        </w:tc>
        <w:tc>
          <w:tcPr>
            <w:tcW w:w="23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Минимальный коэффициент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уплотнения </w:t>
            </w:r>
          </w:p>
        </w:tc>
        <w:tc>
          <w:tcPr>
            <w:tcW w:w="1011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Относи- тельная осадка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7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песчаных грунтов </w:t>
            </w:r>
          </w:p>
        </w:tc>
        <w:tc>
          <w:tcPr>
            <w:tcW w:w="1276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96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крупнее 25 см при раз- работке, %</w:t>
            </w:r>
          </w:p>
        </w:tc>
        <w:tc>
          <w:tcPr>
            <w:tcW w:w="1256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мерзлом состоянии 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после оттаивания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1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 оттаивании насыпи, долях единиц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7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Сыпуче- мерзлый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Без рыхления </w:t>
            </w:r>
          </w:p>
        </w:tc>
        <w:tc>
          <w:tcPr>
            <w:tcW w:w="1296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 </w:t>
            </w:r>
          </w:p>
        </w:tc>
        <w:tc>
          <w:tcPr>
            <w:tcW w:w="1256" w:type="dxa"/>
            <w:tcBorders>
              <w:top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Без ограничений </w:t>
            </w:r>
          </w:p>
        </w:tc>
        <w:tc>
          <w:tcPr>
            <w:tcW w:w="1213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0,95 </w:t>
            </w:r>
          </w:p>
        </w:tc>
        <w:tc>
          <w:tcPr>
            <w:tcW w:w="1156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0,95 </w:t>
            </w:r>
          </w:p>
        </w:tc>
        <w:tc>
          <w:tcPr>
            <w:tcW w:w="101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33" w:type="dxa"/>
            <w:gridSpan w:val="2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(W</w:t>
            </w: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394" type="#_x0000_t75" style="width:9pt;height:15.75pt">
                  <v:imagedata r:id="rId122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не &gt; 3%)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296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56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13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56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10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7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Сухо- мерзлый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 " -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(W</w:t>
            </w: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395" type="#_x0000_t75" style="width:9pt;height:15.75pt">
                  <v:imagedata r:id="rId122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&gt; 7%)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</w:tc>
        <w:tc>
          <w:tcPr>
            <w:tcW w:w="1256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 мерзлых комьев не должен превышать 30 см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1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0,92 </w:t>
            </w:r>
          </w:p>
        </w:tc>
        <w:tc>
          <w:tcPr>
            <w:tcW w:w="11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0,95 </w:t>
            </w:r>
          </w:p>
        </w:tc>
        <w:tc>
          <w:tcPr>
            <w:tcW w:w="1013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7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Твердо- мерзлый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предвари- тельным рыхлением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(7% &lt; W</w:t>
            </w: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396" type="#_x0000_t75" style="width:9pt;height:15.75pt">
                  <v:imagedata r:id="rId122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&lt; 22%)</w:t>
            </w:r>
          </w:p>
        </w:tc>
        <w:tc>
          <w:tcPr>
            <w:tcW w:w="129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50-80 </w:t>
            </w:r>
          </w:p>
        </w:tc>
        <w:tc>
          <w:tcPr>
            <w:tcW w:w="1256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смеси с супыче- мерзлым грунтом. В нижней части насыпи содержание мерзлых комьев размером до  30 см - не более 50%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13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0,87 </w:t>
            </w:r>
          </w:p>
        </w:tc>
        <w:tc>
          <w:tcPr>
            <w:tcW w:w="11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0,95 </w:t>
            </w:r>
          </w:p>
        </w:tc>
        <w:tc>
          <w:tcPr>
            <w:tcW w:w="1013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7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Пластично- мерзлый 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(W</w:t>
            </w: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397" type="#_x0000_t75" style="width:9pt;height:15.75pt">
                  <v:imagedata r:id="rId122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не &gt;22%)</w:t>
            </w:r>
          </w:p>
        </w:tc>
        <w:tc>
          <w:tcPr>
            <w:tcW w:w="1276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- " - </w:t>
            </w:r>
          </w:p>
        </w:tc>
        <w:tc>
          <w:tcPr>
            <w:tcW w:w="1296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 </w:t>
            </w:r>
          </w:p>
        </w:tc>
        <w:tc>
          <w:tcPr>
            <w:tcW w:w="1256" w:type="dxa"/>
            <w:tcBorders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Только для заготовки в бурты с последующим оттаиванием и просушкой </w:t>
            </w:r>
          </w:p>
        </w:tc>
        <w:tc>
          <w:tcPr>
            <w:tcW w:w="1213" w:type="dxa"/>
            <w:tcBorders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67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Не нормируется </w:t>
            </w:r>
          </w:p>
        </w:tc>
      </w:tr>
    </w:tbl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Конструкции земляного полотна промышленных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железных дорог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398" type="#_x0000_t75" style="width:415.5pt;height:163.5pt">
            <v:imagedata r:id="rId123" o:title=""/>
          </v:shape>
        </w:pic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</w: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705"/>
        <w:gridCol w:w="436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 применения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условия проектирования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 Насыпь высотой более 1,5 м на вечномерзлых грунтах I и II категорий термопросадочност</w:t>
            </w:r>
            <w:r>
              <w:rPr>
                <w:rFonts w:ascii="Times New Roman" w:hAnsi="Times New Roman"/>
                <w:sz w:val="20"/>
              </w:rPr>
              <w:t xml:space="preserve">и (на тундровых ландшафтах со сливающейся мерзлотой), из талых сыпуче- или сухомерзлых песчаных грунтов.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по I принципу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Берма шириной 1-3 м из торфа или пенопласта, покрытых суглинком 0,2 м, откос покрывается торфо-песчаной смесью 0,2 м и засевается семенами дикорастущих трав.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E74FE9">
      <w:pPr>
        <w:ind w:firstLine="450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6.2.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399" type="#_x0000_t75" style="width:415.5pt;height:161.25pt">
            <v:imagedata r:id="rId124" o:title=""/>
          </v:shape>
        </w:pic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275"/>
        <w:gridCol w:w="400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Насыпь высотой более 1,5 м на вечномерзлых грунтах III-IV категорий термопросадочности (на тундровых ландшафтах со сливающейся мерзлотой) из талых, сыпуче- или сухомерзлых, песчаных грунтов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 I </w:t>
            </w:r>
            <w:r>
              <w:rPr>
                <w:rFonts w:ascii="Times New Roman" w:hAnsi="Times New Roman"/>
                <w:sz w:val="20"/>
              </w:rPr>
              <w:t xml:space="preserve">принципу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Прослойку геотекстиля укладывать при содержании в песке пылеватых фракций более 30%; ширина бермы 1-3 м.</w:t>
            </w:r>
          </w:p>
        </w:tc>
      </w:tr>
    </w:tbl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6.3.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400" type="#_x0000_t75" style="width:420.75pt;height:151.5pt">
            <v:imagedata r:id="rId125" o:title=""/>
          </v:shape>
        </w:pic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4110"/>
        <w:gridCol w:w="45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4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Насыпь высотой 1,5-3 м на вечномерзлых грунтах IV категории и более термопросадочности (на бугристых торфяниках) из талых сыпуче- или сухомерзлых грунтов.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 I принципу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Замену грунта h</w:t>
            </w: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401" type="#_x0000_t75" style="width:9pt;height:15.75pt">
                  <v:imagedata r:id="rId9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на дренирующий производить на глубину СТС;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тепловой диод из местного торфа или торфогрунтовой смеси.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6.4.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402" type="#_x0000_t75" style="width:419.25pt;height:189.75pt">
            <v:imagedata r:id="rId126" o:title=""/>
          </v:shape>
        </w:pic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310"/>
        <w:gridCol w:w="283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Насыпь высотой 1,5-3 м на вечно-мерзлых грунтах III и </w:t>
            </w:r>
            <w:r>
              <w:rPr>
                <w:rFonts w:ascii="Times New Roman" w:hAnsi="Times New Roman"/>
                <w:sz w:val="20"/>
              </w:rPr>
              <w:t>IV категорий термопросадочности, а также на участках с подземными льдами, залегающими на глубине более 1,5 м; тепловой диод из талого суглинка 0,5-1,0 м перекрытого геотекстилем;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насыпь из талых, сыпуче- или сухомерзлых грунтов.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Тепловой диод укладывается на выравнивающий слой из сыпучемерзлого песка или крупнообломочного грунта мелких фракций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 I принципу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откосах слои торфа или торфо-грунтовой смеси;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тепловой диод может устраиваться также в обойме из геотекстиля </w:t>
            </w:r>
          </w:p>
        </w:tc>
      </w:tr>
    </w:tbl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6.5.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403" type="#_x0000_t75" style="width:420pt;height:177.75pt">
            <v:imagedata r:id="rId127" o:title=""/>
          </v:shape>
        </w:pic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305"/>
        <w:gridCol w:w="385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Насыпь вы</w:t>
            </w:r>
            <w:r>
              <w:rPr>
                <w:rFonts w:ascii="Times New Roman" w:hAnsi="Times New Roman"/>
                <w:sz w:val="20"/>
              </w:rPr>
              <w:t>сотой более 3 м на талых, слабых грунтах (на лесотундровых, пойменно-луговых и болотных ландшафтах; с отсутствием вечной мерзлоты или ее залеганием на глубине более 3 м); насыпь из талых сухо- или сыпучемерзлого грунта.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 II принципу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Насыпь усилена геотекстилем по схеме с образованием упорных призм в обойме; концы заанкерены в теле насыпи.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6.6.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404" type="#_x0000_t75" style="width:417.75pt;height:153.75pt">
            <v:imagedata r:id="rId128" o:title=""/>
          </v:shape>
        </w:pict>
      </w:r>
    </w:p>
    <w:p w:rsidR="00000000" w:rsidRDefault="00E74FE9">
      <w:pPr>
        <w:ind w:firstLine="85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345"/>
        <w:gridCol w:w="436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Насыпь высотой более 1,.5 м на вечномерзлых грунтах I и II категорий термопросадочности (на тундровых ландшафтах со сливающейся мерзлотой);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 талых, сыпуче- или сухомерзлых песчаных грунтов.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 II принципу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 застроенных территориях, станциях и погрузо-разгрузочных пунктах.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Откосы и дно канавы из железобетонных плит устраивают на 2 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405" type="#_x0000_t75" style="width:12.75pt;height:17.25pt">
                  <v:imagedata r:id="rId12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год эксплуатации;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лоток утепленный торфом или пенопластом по расчету.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6.7 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406" type="#_x0000_t75" style="width:420.75pt;height:145.5pt">
            <v:imagedata r:id="rId130" o:title=""/>
          </v:shape>
        </w:pic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19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855"/>
        <w:gridCol w:w="400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</w:tr>
      <w:tr w:rsidR="00000000">
        <w:tblPrEx>
          <w:tblCellMar>
            <w:top w:w="0" w:type="dxa"/>
            <w:left w:w="75" w:type="dxa"/>
            <w:bottom w:w="0" w:type="dxa"/>
            <w:right w:w="75" w:type="dxa"/>
          </w:tblCellMar>
        </w:tblPrEx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Насыпь высотой менее 1,5 м на вечномерзлых грунтах III и IV категорий термопросадочости (на тундровых ландшафтах со сливающейся мерзлотой), из талых, сыпучемерзлых или сухомерзлых песчаных грунтов.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 I принци</w:t>
            </w:r>
            <w:r>
              <w:rPr>
                <w:rFonts w:ascii="Times New Roman" w:hAnsi="Times New Roman"/>
                <w:sz w:val="20"/>
              </w:rPr>
              <w:t xml:space="preserve">пу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Применяется на застроенных территориях, станциях и погрузо- разгрузочных пунктах;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глубина замены h</w:t>
            </w: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407" type="#_x0000_t75" style="width:9pt;height:15.75pt">
                  <v:imagedata r:id="rId91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по расчету;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геотекстиль покрывают слоем  суглинка 0,2 м, с засевом дикорастущими травами.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</w:tbl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6.8.</w:t>
      </w:r>
    </w:p>
    <w:p w:rsidR="00000000" w:rsidRDefault="00E74FE9">
      <w:pPr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4595" w:dyaOrig="4035">
          <v:shape id="_x0000_i1408" type="#_x0000_t75" style="width:729.75pt;height:201.75pt" o:ole="">
            <v:imagedata r:id="rId131" o:title=""/>
          </v:shape>
          <o:OLEObject Type="Embed" ProgID="MSPhotoEd.3" ShapeID="_x0000_i1408" DrawAspect="Content" ObjectID="_1427218408" r:id="rId132"/>
        </w:objec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955"/>
        <w:gridCol w:w="50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5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Выемка глубиной до 6 м в вечномерзлых грунтах III и IV  категорий термопросадочности (на ландшафтах со сливающейся мерзлотой).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 I принципу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Глубина замены грунтов котлована дренирующими грунтами определяется расчетом;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откосы покрывают торфом и суглинком 0</w:t>
            </w:r>
            <w:r>
              <w:rPr>
                <w:rFonts w:ascii="Times New Roman" w:hAnsi="Times New Roman"/>
                <w:sz w:val="20"/>
              </w:rPr>
              <w:t>,5 м с посевом трав;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продольный уклон дна котлована 0,005-0,01 и должен быть обеспечен из него выпуск воды;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валик высотой 1 м.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6.9.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5060" w:dyaOrig="3885">
          <v:shape id="_x0000_i1409" type="#_x0000_t75" style="width:728.25pt;height:187.5pt" o:ole="">
            <v:imagedata r:id="rId133" o:title=""/>
          </v:shape>
          <o:OLEObject Type="Embed" ProgID="MSPhotoEd.3" ShapeID="_x0000_i1409" DrawAspect="Content" ObjectID="_1427218409" r:id="rId134"/>
        </w:objec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260"/>
        <w:gridCol w:w="42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Выемка глубиной до 6 м в вечномерзлых глинистых и пылеватых песках I-II категорий термопросадочности, гравийных с супесчаным заполнителем III категории термопросадочности.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 I принципу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Замена грунта -  1,5 м; ширина закюветной полки 1 м. Осадка (S) основной площадки допускается за счет протаивания мерзлого грунта;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валик </w:t>
            </w:r>
            <w:r>
              <w:rPr>
                <w:rFonts w:ascii="Times New Roman" w:hAnsi="Times New Roman"/>
                <w:sz w:val="20"/>
              </w:rPr>
              <w:t>высотой 1 м;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откосы укрепляются торфо-песчаной смесью с посевом дикорастущих трав.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Конструкции земляного полотна подъездных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автомобильных дорог промышленных предприятий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410" type="#_x0000_t75" style="width:396.75pt;height:149.25pt">
            <v:imagedata r:id="rId135" o:title=""/>
          </v:shape>
        </w:pic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585"/>
        <w:gridCol w:w="34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Область применения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Условия проектирования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Насыпь высотой более 1,5 м на вечномерзлых грунтах IV и V категорий термопросадочности, из талых сыпуче- или сухомерзлых песчаных грунтов.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411" type="#_x0000_t75" style="width:9pt;height:17.25pt">
                  <v:imagedata r:id="rId13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тип местности.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 I принципу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Берма 3-4 м, высотой более 1,0 м, при V категории термопросадочности присыпка на откосе из насыпного </w:t>
            </w:r>
            <w:r>
              <w:rPr>
                <w:rFonts w:ascii="Times New Roman" w:hAnsi="Times New Roman"/>
                <w:sz w:val="20"/>
              </w:rPr>
              <w:t>торфа.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6.11.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412" type="#_x0000_t75" style="width:421.5pt;height:160.5pt">
            <v:imagedata r:id="rId137" o:title=""/>
          </v:shape>
        </w:pict>
      </w: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300"/>
        <w:gridCol w:w="502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Насыпь высотой более 1,5 м на грунтах IV-V категорий термопросадочности, из талых, сыпуче- или сухомерзлых песчаных грунтов.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413" type="#_x0000_t75" style="width:9pt;height:17.25pt">
                  <v:imagedata r:id="rId13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тип местности.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 I принципу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 сохранением мохово-растительного покрова.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Термоизоляционный слой устраивается из уплотненного торфа толщиной согласно теплотехническому расчету, или из пенопласта, укладываемого на выровненный слой сыпучемерзлого песка.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</w:tbl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6.12.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Конструкции земляного полотна внутренних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автомобильных дорог на застраивае</w:t>
      </w:r>
      <w:r>
        <w:rPr>
          <w:rFonts w:ascii="Times New Roman" w:hAnsi="Times New Roman"/>
          <w:sz w:val="20"/>
        </w:rPr>
        <w:t xml:space="preserve">мой территории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414" type="#_x0000_t75" style="width:400.5pt;height:129pt">
            <v:imagedata r:id="rId138" o:title=""/>
          </v:shape>
        </w:pic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315"/>
        <w:gridCol w:w="411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Земляное полотно на грунтах III и IV категорий термопросадочности с относительной влажностью более 0,8 W</w:t>
            </w:r>
            <w:r>
              <w:rPr>
                <w:rFonts w:ascii="Times New Roman" w:hAnsi="Times New Roman"/>
                <w:position w:val="-9"/>
                <w:sz w:val="20"/>
              </w:rPr>
              <w:pict>
                <v:shape id="_x0000_i1415" type="#_x0000_t75" style="width:9.75pt;height:17.25pt">
                  <v:imagedata r:id="rId13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и J</w:t>
            </w:r>
            <w:r>
              <w:rPr>
                <w:rFonts w:ascii="Times New Roman" w:hAnsi="Times New Roman"/>
                <w:position w:val="-7"/>
                <w:sz w:val="20"/>
              </w:rPr>
              <w:pict>
                <v:shape id="_x0000_i1416" type="#_x0000_t75" style="width:9.75pt;height:17.25pt">
                  <v:imagedata r:id="rId13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&gt; 0,5.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 I принципу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Замена на дренирующий грунт на глубину согласно теплотехническому расчету;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устройство водоотвода с трубофильтрами.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6.13.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417" type="#_x0000_t75" style="width:403.5pt;height:143.25pt">
            <v:imagedata r:id="rId140" o:title=""/>
          </v:shape>
        </w:pic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22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330"/>
        <w:gridCol w:w="48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Земляное полотно на грунтах IV и V категорий термопросадочности.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Устройство термоизолирующего слоя из торфа, шлака, пенопласта;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замена на дренирующий грунт по теплотехническому расчету.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</w:tbl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ис. 6.14.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418" type="#_x0000_t75" style="width:416.25pt;height:153.75pt">
            <v:imagedata r:id="rId141" o:title=""/>
          </v:shape>
        </w:pic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835"/>
        <w:gridCol w:w="558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Земляное полотно на грунтах III и IV категорий на подходах к планируемой территории.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 I принципу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Замена на дренирующий грунт на глубину по теплотехническому расчету.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Водоотвод за счет уклона дна корыта 0,5% и вывода в ливневую канализацию.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Канава закрепляется железобетонными плитами.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Откосы укрепляются торфо-песчаной смесью с посевом дикорастущих трав.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6.15.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419" type="#_x0000_t75" style="width:422.25pt;height:225.75pt">
            <v:imagedata r:id="rId142" o:title=""/>
          </v:shape>
        </w:pic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300"/>
        <w:gridCol w:w="463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Земляное полотно на грунтах III-V категорий термопросадочности, на всех типа</w:t>
            </w:r>
            <w:r>
              <w:rPr>
                <w:rFonts w:ascii="Times New Roman" w:hAnsi="Times New Roman"/>
                <w:sz w:val="20"/>
              </w:rPr>
              <w:t>х местности, на участках сопряжения тротуара с дорогой.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4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 I принципу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Замена на дренирующий грунт на глубину согласно теплотехническому расчету.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Водоотвод с помощью трубофильтра и применения пенопласта.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6.16.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Условные обозначения к рисункам 6.2-6.16 приложения 6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грунт насыпи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2 - берма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3 - верхняя граница вечной мерзлоты (ВГВМ)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4 - поверхность "новообразованной" мерзлоты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5 - грунты основания земляного полотна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6 - мохово-растительный покров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7 - торф насыпной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8 - торфо-песчаная сме</w:t>
      </w:r>
      <w:r>
        <w:rPr>
          <w:rFonts w:ascii="Times New Roman" w:hAnsi="Times New Roman"/>
          <w:sz w:val="20"/>
        </w:rPr>
        <w:t>сь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9 - суглинок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10 - геотекстиль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11 - торф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12 - трубофильтр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13 - дренирующий грунт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14 - пенопласт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15 - покрытие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16 - поверхность планировки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17 - железобетонные плиты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position w:val="-13"/>
          <w:sz w:val="20"/>
        </w:rPr>
        <w:pict>
          <v:shape id="_x0000_i1420" type="#_x0000_t75" style="width:9pt;height:18pt">
            <v:imagedata r:id="rId143" o:title=""/>
          </v:shape>
        </w:pict>
      </w:r>
      <w:r>
        <w:rPr>
          <w:rFonts w:ascii="Times New Roman" w:hAnsi="Times New Roman"/>
          <w:sz w:val="20"/>
        </w:rPr>
        <w:t xml:space="preserve"> - высота насыпи по расчету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h</w:t>
      </w:r>
      <w:r>
        <w:rPr>
          <w:rFonts w:ascii="Times New Roman" w:hAnsi="Times New Roman"/>
          <w:position w:val="-10"/>
          <w:sz w:val="20"/>
        </w:rPr>
        <w:pict>
          <v:shape id="_x0000_i1421" type="#_x0000_t75" style="width:9pt;height:15.75pt">
            <v:imagedata r:id="rId74" o:title=""/>
          </v:shape>
        </w:pict>
      </w:r>
      <w:r>
        <w:rPr>
          <w:rFonts w:ascii="Times New Roman" w:hAnsi="Times New Roman"/>
          <w:sz w:val="20"/>
        </w:rPr>
        <w:t xml:space="preserve"> - сезоннооттаивающий слой (СТС)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h</w:t>
      </w:r>
      <w:r>
        <w:rPr>
          <w:rFonts w:ascii="Times New Roman" w:hAnsi="Times New Roman"/>
          <w:position w:val="-10"/>
          <w:sz w:val="20"/>
        </w:rPr>
        <w:pict>
          <v:shape id="_x0000_i1422" type="#_x0000_t75" style="width:9pt;height:15.75pt">
            <v:imagedata r:id="rId91" o:title=""/>
          </v:shape>
        </w:pict>
      </w:r>
      <w:r>
        <w:rPr>
          <w:rFonts w:ascii="Times New Roman" w:hAnsi="Times New Roman"/>
          <w:sz w:val="20"/>
        </w:rPr>
        <w:t xml:space="preserve"> - глубина замены грунта по расчету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 - осадка основания земляного полотна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Приложение 7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 проектной численности населения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городов и других населенных пунктов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При расчете проектной численности населения следует учитывать современную возрастную струк</w:t>
      </w:r>
      <w:r>
        <w:rPr>
          <w:rFonts w:ascii="Times New Roman" w:hAnsi="Times New Roman"/>
          <w:sz w:val="20"/>
        </w:rPr>
        <w:t>туру населения и ожидаемое ее изменение на расчетный срок.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Перспективная возрастная структура населения должна устанавливаться на основе данных плановых органов республики или области.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Перспективная возрастная структура населения городов-новостроек и других новых населенных пунктов устанавливается по аналогии с другими городами-новостройками или новыми населенными пунктами, возникающими в данном или соседних регионах в предыдущие годы.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Примерную возрастную и семейную структуру населения суще</w:t>
      </w:r>
      <w:r>
        <w:rPr>
          <w:rFonts w:ascii="Times New Roman" w:hAnsi="Times New Roman"/>
          <w:sz w:val="20"/>
        </w:rPr>
        <w:t>ствующих, новых городов и других населенных пунктов зоны IГ и IД допускается принимать по таблице 1,2 с уточнением в каждом отдельном случае в зависимости от демографической ситуации района строительства.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7.1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Рекомендованный возрастной состав населения, в %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552"/>
        <w:gridCol w:w="792"/>
        <w:gridCol w:w="767"/>
        <w:gridCol w:w="685"/>
        <w:gridCol w:w="1191"/>
        <w:gridCol w:w="1258"/>
        <w:gridCol w:w="100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Тип населения </w:t>
            </w:r>
          </w:p>
        </w:tc>
        <w:tc>
          <w:tcPr>
            <w:tcW w:w="569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Возрастной состав населения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всего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0-6 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7-15 </w:t>
            </w:r>
          </w:p>
        </w:tc>
        <w:tc>
          <w:tcPr>
            <w:tcW w:w="2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трудоспособ.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пенс.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16-59 муж.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16-54 жен.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IД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2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7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85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91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58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06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Опорный город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7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6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119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 </w:t>
            </w:r>
          </w:p>
        </w:tc>
        <w:tc>
          <w:tcPr>
            <w:tcW w:w="125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 </w:t>
            </w:r>
          </w:p>
        </w:tc>
        <w:tc>
          <w:tcPr>
            <w:tcW w:w="100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z w:val="20"/>
              </w:rPr>
              <w:t>. Существующий базовый город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7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6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119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 </w:t>
            </w:r>
          </w:p>
        </w:tc>
        <w:tc>
          <w:tcPr>
            <w:tcW w:w="125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 </w:t>
            </w:r>
          </w:p>
        </w:tc>
        <w:tc>
          <w:tcPr>
            <w:tcW w:w="100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Новый базовый город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7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6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119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 </w:t>
            </w:r>
          </w:p>
        </w:tc>
        <w:tc>
          <w:tcPr>
            <w:tcW w:w="125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 </w:t>
            </w:r>
          </w:p>
        </w:tc>
        <w:tc>
          <w:tcPr>
            <w:tcW w:w="100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 ОХЦ с преобладанием промышленно-транспортных функций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7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6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119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 </w:t>
            </w:r>
          </w:p>
        </w:tc>
        <w:tc>
          <w:tcPr>
            <w:tcW w:w="125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 </w:t>
            </w:r>
          </w:p>
        </w:tc>
        <w:tc>
          <w:tcPr>
            <w:tcW w:w="100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 ОХЦ с преобладанием административно-хозяйственных функций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7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6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119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 </w:t>
            </w:r>
          </w:p>
        </w:tc>
        <w:tc>
          <w:tcPr>
            <w:tcW w:w="125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 </w:t>
            </w:r>
          </w:p>
        </w:tc>
        <w:tc>
          <w:tcPr>
            <w:tcW w:w="100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6. Постоянный поселок-промышленный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7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6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119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 </w:t>
            </w:r>
          </w:p>
        </w:tc>
        <w:tc>
          <w:tcPr>
            <w:tcW w:w="125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 </w:t>
            </w:r>
          </w:p>
        </w:tc>
        <w:tc>
          <w:tcPr>
            <w:tcW w:w="100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7. Вахтовый поселок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7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9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  <w:tc>
          <w:tcPr>
            <w:tcW w:w="125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  <w:tc>
          <w:tcPr>
            <w:tcW w:w="100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IГ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92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7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8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91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58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06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Новый базовый город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7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6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119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 </w:t>
            </w:r>
          </w:p>
        </w:tc>
        <w:tc>
          <w:tcPr>
            <w:tcW w:w="125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 </w:t>
            </w:r>
          </w:p>
        </w:tc>
        <w:tc>
          <w:tcPr>
            <w:tcW w:w="100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ОХЦ с преобл</w:t>
            </w:r>
            <w:r>
              <w:rPr>
                <w:rFonts w:ascii="Times New Roman" w:hAnsi="Times New Roman"/>
                <w:sz w:val="20"/>
              </w:rPr>
              <w:t xml:space="preserve">аданием промышленно-транспортных функций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7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6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119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 </w:t>
            </w:r>
          </w:p>
        </w:tc>
        <w:tc>
          <w:tcPr>
            <w:tcW w:w="125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 </w:t>
            </w:r>
          </w:p>
        </w:tc>
        <w:tc>
          <w:tcPr>
            <w:tcW w:w="100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ОХЦ с преобладанием административно-хозяйственных функций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7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6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119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 </w:t>
            </w:r>
          </w:p>
        </w:tc>
        <w:tc>
          <w:tcPr>
            <w:tcW w:w="125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 </w:t>
            </w:r>
          </w:p>
        </w:tc>
        <w:tc>
          <w:tcPr>
            <w:tcW w:w="100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 Постоянный поселок-промышленный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92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767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6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1191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 </w:t>
            </w:r>
          </w:p>
        </w:tc>
        <w:tc>
          <w:tcPr>
            <w:tcW w:w="125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 </w:t>
            </w:r>
          </w:p>
        </w:tc>
        <w:tc>
          <w:tcPr>
            <w:tcW w:w="1006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 Вахтовый поселок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92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767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68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191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 </w:t>
            </w:r>
          </w:p>
        </w:tc>
        <w:tc>
          <w:tcPr>
            <w:tcW w:w="1258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1006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7.2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Рекомендованная семейная структура населения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ЗСНГК, в %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105"/>
        <w:gridCol w:w="1050"/>
        <w:gridCol w:w="750"/>
        <w:gridCol w:w="765"/>
        <w:gridCol w:w="776"/>
        <w:gridCol w:w="948"/>
        <w:gridCol w:w="102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Тип поселений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Одиночки от общей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Всего семей </w:t>
            </w:r>
          </w:p>
        </w:tc>
        <w:tc>
          <w:tcPr>
            <w:tcW w:w="35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Семьи из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числен- ности насел.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2-х чел.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3-х чел.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4-х чел.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5-и и более чел.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0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0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IД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0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5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76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48" w:type="dxa"/>
            <w:tcBorders>
              <w:top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2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0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 Опорный город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7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7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23 </w:t>
            </w:r>
          </w:p>
        </w:tc>
        <w:tc>
          <w:tcPr>
            <w:tcW w:w="7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 </w:t>
            </w:r>
          </w:p>
        </w:tc>
        <w:tc>
          <w:tcPr>
            <w:tcW w:w="94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1024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0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Существующий базовый город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7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7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7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 </w:t>
            </w:r>
          </w:p>
        </w:tc>
        <w:tc>
          <w:tcPr>
            <w:tcW w:w="94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31 </w:t>
            </w:r>
          </w:p>
        </w:tc>
        <w:tc>
          <w:tcPr>
            <w:tcW w:w="1024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0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Новый базовый город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  <w:tc>
          <w:tcPr>
            <w:tcW w:w="7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7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7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 </w:t>
            </w:r>
          </w:p>
        </w:tc>
        <w:tc>
          <w:tcPr>
            <w:tcW w:w="94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 </w:t>
            </w:r>
          </w:p>
        </w:tc>
        <w:tc>
          <w:tcPr>
            <w:tcW w:w="1024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0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 ОХЦ с преобладанием промышленно-транспортных функций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7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7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 </w:t>
            </w:r>
          </w:p>
        </w:tc>
        <w:tc>
          <w:tcPr>
            <w:tcW w:w="7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 </w:t>
            </w:r>
          </w:p>
        </w:tc>
        <w:tc>
          <w:tcPr>
            <w:tcW w:w="94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1024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0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 ОХЦ с преобладанием административно-хозяйственных функций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7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7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 </w:t>
            </w:r>
          </w:p>
        </w:tc>
        <w:tc>
          <w:tcPr>
            <w:tcW w:w="7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94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 </w:t>
            </w:r>
          </w:p>
        </w:tc>
        <w:tc>
          <w:tcPr>
            <w:tcW w:w="1024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0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6. Постоянный промышленный поселок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  <w:tc>
          <w:tcPr>
            <w:tcW w:w="7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7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7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 </w:t>
            </w:r>
          </w:p>
        </w:tc>
        <w:tc>
          <w:tcPr>
            <w:tcW w:w="94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  <w:tc>
          <w:tcPr>
            <w:tcW w:w="1024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0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7. Вахтовый поселок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 </w:t>
            </w:r>
          </w:p>
        </w:tc>
        <w:tc>
          <w:tcPr>
            <w:tcW w:w="7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 от всег</w:t>
            </w:r>
            <w:r>
              <w:rPr>
                <w:rFonts w:ascii="Times New Roman" w:hAnsi="Times New Roman"/>
                <w:sz w:val="20"/>
              </w:rPr>
              <w:t>о насел.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4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024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0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IГ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0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65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76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48" w:type="dxa"/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24" w:type="dxa"/>
            <w:tcBorders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0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 Новый базовый город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7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7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 </w:t>
            </w:r>
          </w:p>
        </w:tc>
        <w:tc>
          <w:tcPr>
            <w:tcW w:w="7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 </w:t>
            </w:r>
          </w:p>
        </w:tc>
        <w:tc>
          <w:tcPr>
            <w:tcW w:w="94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 </w:t>
            </w:r>
          </w:p>
        </w:tc>
        <w:tc>
          <w:tcPr>
            <w:tcW w:w="1024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0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 ОХЦ с преобладанием промышленно-транспортных функций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7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7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 </w:t>
            </w:r>
          </w:p>
        </w:tc>
        <w:tc>
          <w:tcPr>
            <w:tcW w:w="7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 </w:t>
            </w:r>
          </w:p>
        </w:tc>
        <w:tc>
          <w:tcPr>
            <w:tcW w:w="94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 </w:t>
            </w:r>
          </w:p>
        </w:tc>
        <w:tc>
          <w:tcPr>
            <w:tcW w:w="1024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0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 ОХЦ с преобладанием административно-хозяйственных функций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7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7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  <w:tc>
          <w:tcPr>
            <w:tcW w:w="7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 </w:t>
            </w:r>
          </w:p>
        </w:tc>
        <w:tc>
          <w:tcPr>
            <w:tcW w:w="94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27 </w:t>
            </w:r>
          </w:p>
        </w:tc>
        <w:tc>
          <w:tcPr>
            <w:tcW w:w="1024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0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 Постоянный промышленный поселок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75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76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 </w:t>
            </w:r>
          </w:p>
        </w:tc>
        <w:tc>
          <w:tcPr>
            <w:tcW w:w="776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 </w:t>
            </w:r>
          </w:p>
        </w:tc>
        <w:tc>
          <w:tcPr>
            <w:tcW w:w="948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 </w:t>
            </w:r>
          </w:p>
        </w:tc>
        <w:tc>
          <w:tcPr>
            <w:tcW w:w="1024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0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 Вахтовый поселок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 </w:t>
            </w:r>
          </w:p>
        </w:tc>
        <w:tc>
          <w:tcPr>
            <w:tcW w:w="75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6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 от всего насел.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76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948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024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Расчет трудовых ресурсов следует производить на основе перспективной возрастной структуры нас</w:t>
      </w:r>
      <w:r>
        <w:rPr>
          <w:rFonts w:ascii="Times New Roman" w:hAnsi="Times New Roman"/>
          <w:sz w:val="20"/>
        </w:rPr>
        <w:t>еления, исключая из общей численности населения в трудоспособном возрасте следующие группы, не участвующие в общественном производстве: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лиц, занятых в домашнем и личном подсобном хозяйстве (для подрайонов IГ, IД примерно 3-5% населения на первую очередь и 1-3% на расчетный срок);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инвалидов труда в трудоспособном возрасте (для подрайонов IГ, IД 1-1% населения на первую очередь и расчетный срок);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100% учащихся средних специальных учебных заведений, профессионально-технических училищ и дневных отделений вуз</w:t>
      </w:r>
      <w:r>
        <w:rPr>
          <w:rFonts w:ascii="Times New Roman" w:hAnsi="Times New Roman"/>
          <w:sz w:val="20"/>
        </w:rPr>
        <w:t>ов в возрасте старше 16 лет, обучающихся с отрывом от производства.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Лица пенсионного возраста, продолжающие участвовать в общественном производстве, включаются в состав трудовых ресурсов в пределах 20-30% численности возрастной группы на первую очередь и 30-40% на расчетный срок.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Примечание: Приведенные данные являются средними для городов климатических подрайонов IГ и IД и должны уточняться для конкретных городов на основе учета специфических особенностей возрастной структуры населения и структуры трудов</w:t>
      </w:r>
      <w:r>
        <w:rPr>
          <w:rFonts w:ascii="Times New Roman" w:hAnsi="Times New Roman"/>
          <w:sz w:val="20"/>
        </w:rPr>
        <w:t>ых ресурсов.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 Абсолютную численность градообразующих кадров на первую очередь строительства и на расчетный срок следует определять исходя из общей численности кадров предприятий, учреждений и организаций градообразующего значения на основе перспективных планов и проектных данных по строительству новых или реконструкции существующих объектов соответствующих отраслей народного хозяйства.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Примечание: Для городов и других населенных пунктов, имеющих благоприятные народнохозяйственные предпосылки к дальнейш</w:t>
      </w:r>
      <w:r>
        <w:rPr>
          <w:rFonts w:ascii="Times New Roman" w:hAnsi="Times New Roman"/>
          <w:sz w:val="20"/>
        </w:rPr>
        <w:t>ему развитию, с учетом их роли в системе расселения и располагающих территориальными, водными, природными, сырьевыми и прочими ресурсами, следует предусматривать следующие резервы градообразующих кадров: 15-25% для опорных центров, 10-15% для базовых городов организационно-хозяйственных центров, 3-5% для постоянных поселков.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Для опорных центров и базовых городов численность обслуживающей группы населения допускается принимать в пределах 15-20% на первую очередь строительства и 20-25% на расчетный срок д</w:t>
      </w:r>
      <w:r>
        <w:rPr>
          <w:rFonts w:ascii="Times New Roman" w:hAnsi="Times New Roman"/>
          <w:sz w:val="20"/>
        </w:rPr>
        <w:t>ля организационно-хозяйственных центров соответственно 12-15% и 15-20%, для постоянных поселков 8-10% и 10-13% от проектной численности населения, в зависимости от особенности возрастной структуры населения, уровня и охвата отдельными видами обслуживания и наличия вахтовой и экспедиционной нагрузки на населенный пункт.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Проектную численность населения реконструируемых городов и поселков на расчетный срок следует определять по формуле: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Н=</w:t>
      </w:r>
      <w:r>
        <w:rPr>
          <w:rFonts w:ascii="Times New Roman" w:hAnsi="Times New Roman"/>
          <w:position w:val="-22"/>
          <w:sz w:val="20"/>
        </w:rPr>
        <w:pict>
          <v:shape id="_x0000_i1423" type="#_x0000_t75" style="width:96pt;height:30.75pt">
            <v:imagedata r:id="rId144" o:title=""/>
          </v:shape>
        </w:pic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А - абсолютная численность градообразующих кадров;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 - числ</w:t>
      </w:r>
      <w:r>
        <w:rPr>
          <w:rFonts w:ascii="Times New Roman" w:hAnsi="Times New Roman"/>
          <w:sz w:val="20"/>
        </w:rPr>
        <w:t>енность населения в трудоспособном возрасте, %;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 - численность занятых в домашнем и личном подсобном хозяйстве в трудоспособном возрасте, %;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численность учащихся в трудоспособном возрасте, обучающихся с отрывом от производства, %;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численность неработающих инвалидов труда в трудоспособном возрасте, %;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численность работающих пенсионеров, %;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численность обслуживающей группы населения, %.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Для крупнейших и крупных городов со значительным количеством трудящихся, приезжающих на работ</w:t>
      </w:r>
      <w:r>
        <w:rPr>
          <w:rFonts w:ascii="Times New Roman" w:hAnsi="Times New Roman"/>
          <w:sz w:val="20"/>
        </w:rPr>
        <w:t>у из пригородов, числитель формулы для расчета проектной численности населения следует принимать: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100(А - П),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П - количество трудящихся, приезжающих на работу в город, но проживающих за его пределами и включаемых в состав градообразующей группы по месту постоянного жительства. Полученную проектную численность населения города или другого населенного пункта следует проверять и в необходимых случаях корректировать с учетом прогноза естественного и механического прироста населения.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В численности насе</w:t>
      </w:r>
      <w:r>
        <w:rPr>
          <w:rFonts w:ascii="Times New Roman" w:hAnsi="Times New Roman"/>
          <w:sz w:val="20"/>
        </w:rPr>
        <w:t>ления опорных центров, базовых городов и организационно-хозяйственных центров, из которых осуществляется вахтовый метод, учитываются лица, работающие по этому методу с членами их семей.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Численность экспедиционных кадров в численности населения указанных городов не включается, а учитывается только при развитии сферы обслуживания.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Величина вахтового и экспедиционного поселка зависит от технологических особенностей всех видов работ на местах приложения труда и определяется проектом организации работ строи</w:t>
      </w:r>
      <w:r>
        <w:rPr>
          <w:rFonts w:ascii="Times New Roman" w:hAnsi="Times New Roman"/>
          <w:sz w:val="20"/>
        </w:rPr>
        <w:t xml:space="preserve">тельства или производственной потребностью на основе ведомственных нормативом с учетом принятого режима труда. В общей численности трудящихся вахтового или экспедиционного поселка следует  учитывать численность временных, прикомандированных и т.п. нештатных работников до 5%.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7.3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Удельные размеры элементов территории микрорайона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региона ЗСНГК, м</w:t>
      </w:r>
      <w:r>
        <w:rPr>
          <w:rFonts w:ascii="Times New Roman" w:hAnsi="Times New Roman"/>
          <w:position w:val="-4"/>
          <w:sz w:val="20"/>
        </w:rPr>
        <w:pict>
          <v:shape id="_x0000_i1424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/чел.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85"/>
        <w:gridCol w:w="840"/>
        <w:gridCol w:w="585"/>
        <w:gridCol w:w="600"/>
        <w:gridCol w:w="600"/>
        <w:gridCol w:w="630"/>
        <w:gridCol w:w="675"/>
        <w:gridCol w:w="645"/>
        <w:gridCol w:w="660"/>
        <w:gridCol w:w="57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6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Участки </w:t>
            </w:r>
          </w:p>
        </w:tc>
        <w:tc>
          <w:tcPr>
            <w:tcW w:w="5805" w:type="dxa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Средняя этажность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2-х дерев.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8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Школы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1,8 </w:t>
            </w:r>
          </w:p>
        </w:tc>
        <w:tc>
          <w:tcPr>
            <w:tcW w:w="57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8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Детских дошкольных учреждений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3,1 </w:t>
            </w:r>
          </w:p>
        </w:tc>
        <w:tc>
          <w:tcPr>
            <w:tcW w:w="64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8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Учреждений и предприятий обслуживания 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  <w:tc>
          <w:tcPr>
            <w:tcW w:w="6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  <w:tc>
          <w:tcPr>
            <w:tcW w:w="6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  <w:tc>
          <w:tcPr>
            <w:tcW w:w="67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  <w:tc>
          <w:tcPr>
            <w:tcW w:w="64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  <w:tc>
          <w:tcPr>
            <w:tcW w:w="66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  <w:tc>
          <w:tcPr>
            <w:tcW w:w="57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8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Физкультурных площадок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 </w:t>
            </w:r>
          </w:p>
        </w:tc>
        <w:tc>
          <w:tcPr>
            <w:tcW w:w="5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 </w:t>
            </w:r>
          </w:p>
        </w:tc>
        <w:tc>
          <w:tcPr>
            <w:tcW w:w="6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 </w:t>
            </w:r>
          </w:p>
        </w:tc>
        <w:tc>
          <w:tcPr>
            <w:tcW w:w="6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 </w:t>
            </w: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 </w:t>
            </w:r>
          </w:p>
        </w:tc>
        <w:tc>
          <w:tcPr>
            <w:tcW w:w="67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 </w:t>
            </w:r>
          </w:p>
        </w:tc>
        <w:tc>
          <w:tcPr>
            <w:tcW w:w="64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 </w:t>
            </w:r>
          </w:p>
        </w:tc>
        <w:tc>
          <w:tcPr>
            <w:tcW w:w="66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 </w:t>
            </w:r>
          </w:p>
        </w:tc>
        <w:tc>
          <w:tcPr>
            <w:tcW w:w="57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8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Жилой территории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26,6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14,3 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8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Площади застройки жилых домов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10,0 </w:t>
            </w:r>
          </w:p>
        </w:tc>
        <w:tc>
          <w:tcPr>
            <w:tcW w:w="6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6,8 </w:t>
            </w:r>
          </w:p>
        </w:tc>
        <w:tc>
          <w:tcPr>
            <w:tcW w:w="6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5,1 </w:t>
            </w: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4,0 </w:t>
            </w:r>
          </w:p>
        </w:tc>
        <w:tc>
          <w:tcPr>
            <w:tcW w:w="67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3,6 </w:t>
            </w:r>
          </w:p>
        </w:tc>
        <w:tc>
          <w:tcPr>
            <w:tcW w:w="64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  <w:tc>
          <w:tcPr>
            <w:tcW w:w="66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 </w:t>
            </w:r>
          </w:p>
        </w:tc>
        <w:tc>
          <w:tcPr>
            <w:tcW w:w="57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8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Проездов и тротуаров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4,8 </w:t>
            </w:r>
          </w:p>
        </w:tc>
        <w:tc>
          <w:tcPr>
            <w:tcW w:w="5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4,8 </w:t>
            </w:r>
          </w:p>
        </w:tc>
        <w:tc>
          <w:tcPr>
            <w:tcW w:w="6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3,7 </w:t>
            </w:r>
          </w:p>
        </w:tc>
        <w:tc>
          <w:tcPr>
            <w:tcW w:w="6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3,2 </w:t>
            </w: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3,0 </w:t>
            </w:r>
          </w:p>
        </w:tc>
        <w:tc>
          <w:tcPr>
            <w:tcW w:w="67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2,8 </w:t>
            </w:r>
          </w:p>
        </w:tc>
        <w:tc>
          <w:tcPr>
            <w:tcW w:w="64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2,6 </w:t>
            </w:r>
          </w:p>
        </w:tc>
        <w:tc>
          <w:tcPr>
            <w:tcW w:w="66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57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8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Гостевых автостоянок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5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6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6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67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64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66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57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85" w:type="dxa"/>
            <w:tcBorders>
              <w:left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Хозплощадок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 </w:t>
            </w:r>
          </w:p>
        </w:tc>
        <w:tc>
          <w:tcPr>
            <w:tcW w:w="5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 </w:t>
            </w:r>
          </w:p>
        </w:tc>
        <w:tc>
          <w:tcPr>
            <w:tcW w:w="6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 </w:t>
            </w:r>
          </w:p>
        </w:tc>
        <w:tc>
          <w:tcPr>
            <w:tcW w:w="6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 </w:t>
            </w: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 </w:t>
            </w:r>
          </w:p>
        </w:tc>
        <w:tc>
          <w:tcPr>
            <w:tcW w:w="67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 </w:t>
            </w:r>
          </w:p>
        </w:tc>
        <w:tc>
          <w:tcPr>
            <w:tcW w:w="64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 </w:t>
            </w:r>
          </w:p>
        </w:tc>
        <w:tc>
          <w:tcPr>
            <w:tcW w:w="66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 </w:t>
            </w:r>
          </w:p>
        </w:tc>
        <w:tc>
          <w:tcPr>
            <w:tcW w:w="57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8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Площадок для игр детей и отдыха взрослых 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 </w:t>
            </w:r>
          </w:p>
        </w:tc>
        <w:tc>
          <w:tcPr>
            <w:tcW w:w="5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 </w:t>
            </w:r>
          </w:p>
        </w:tc>
        <w:tc>
          <w:tcPr>
            <w:tcW w:w="6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 </w:t>
            </w:r>
          </w:p>
        </w:tc>
        <w:tc>
          <w:tcPr>
            <w:tcW w:w="6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 </w:t>
            </w: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 </w:t>
            </w:r>
          </w:p>
        </w:tc>
        <w:tc>
          <w:tcPr>
            <w:tcW w:w="67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 </w:t>
            </w:r>
          </w:p>
        </w:tc>
        <w:tc>
          <w:tcPr>
            <w:tcW w:w="64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 </w:t>
            </w:r>
          </w:p>
        </w:tc>
        <w:tc>
          <w:tcPr>
            <w:tcW w:w="66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 </w:t>
            </w:r>
          </w:p>
        </w:tc>
        <w:tc>
          <w:tcPr>
            <w:tcW w:w="57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8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Озелененных и благоустроенных территорий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7,2 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0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8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ИТОГО:</w:t>
            </w: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84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0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3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7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7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17,6 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Примечание: 1. Приведены показатели: в числителе - для подрайона IГ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324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знаменателе -</w:t>
      </w:r>
      <w:r>
        <w:rPr>
          <w:rFonts w:ascii="Times New Roman" w:hAnsi="Times New Roman"/>
          <w:sz w:val="20"/>
        </w:rPr>
        <w:t xml:space="preserve"> для подрайона IД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Удельные размеры элементов территории определены для первой очереди строительства, исходя из условий: применения средней по микрорайону нормы жилищной обеспеченности 15 м</w:t>
      </w:r>
      <w:r>
        <w:rPr>
          <w:rFonts w:ascii="Times New Roman" w:hAnsi="Times New Roman"/>
          <w:position w:val="-4"/>
          <w:sz w:val="20"/>
        </w:rPr>
        <w:pict>
          <v:shape id="_x0000_i1425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общей площади на 1 чел., сокращения участка школы на 40% для подрайона IГ и на 35% для подрайона IД относительно норм средней полосы, использования нормы участка детских дошкольных учреждений 21 м</w:t>
      </w:r>
      <w:r>
        <w:rPr>
          <w:rFonts w:ascii="Times New Roman" w:hAnsi="Times New Roman"/>
          <w:position w:val="-4"/>
          <w:sz w:val="20"/>
        </w:rPr>
        <w:pict>
          <v:shape id="_x0000_i1426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на место для IГ и 28 м</w:t>
      </w:r>
      <w:r>
        <w:rPr>
          <w:rFonts w:ascii="Times New Roman" w:hAnsi="Times New Roman"/>
          <w:position w:val="-4"/>
          <w:sz w:val="20"/>
        </w:rPr>
        <w:pict>
          <v:shape id="_x0000_i1427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на место для IД.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 При изменении условий использования территории микрорайона в пределах норм </w:t>
      </w:r>
      <w:r>
        <w:rPr>
          <w:rFonts w:ascii="Times New Roman" w:hAnsi="Times New Roman"/>
          <w:sz w:val="20"/>
        </w:rPr>
        <w:t>раздела 6 следует соответственно применять расчетные показатели удельных размеров элементов территории микрорайона.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7.4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Удельные размеры элементов территории жилых районов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ЗСНГК, м</w:t>
      </w:r>
      <w:r>
        <w:rPr>
          <w:rFonts w:ascii="Times New Roman" w:hAnsi="Times New Roman"/>
          <w:position w:val="-4"/>
          <w:sz w:val="20"/>
        </w:rPr>
        <w:pict>
          <v:shape id="_x0000_i1428" type="#_x0000_t75" style="width:9pt;height:17.25pt">
            <v:imagedata r:id="rId14" o:title=""/>
          </v:shape>
        </w:pict>
      </w:r>
      <w:r>
        <w:rPr>
          <w:rFonts w:ascii="Times New Roman" w:hAnsi="Times New Roman"/>
          <w:sz w:val="20"/>
        </w:rPr>
        <w:t>/чел.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710"/>
        <w:gridCol w:w="855"/>
        <w:gridCol w:w="855"/>
        <w:gridCol w:w="855"/>
        <w:gridCol w:w="855"/>
        <w:gridCol w:w="855"/>
        <w:gridCol w:w="855"/>
        <w:gridCol w:w="855"/>
        <w:gridCol w:w="85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Участки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84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Средняя этажность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Микрорайонов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Учреждений и предприятий обслуживания (без УПК и ДПШ)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</w:t>
            </w: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8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Зеленых насаждений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Спортивных сооружений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Гаражей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1,7 </w:t>
            </w:r>
          </w:p>
        </w:tc>
        <w:tc>
          <w:tcPr>
            <w:tcW w:w="8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Магистральных и жилых улиц и площадей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8,7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7,1 </w:t>
            </w: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71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Итого:</w:t>
            </w:r>
          </w:p>
          <w:p w:rsidR="00000000" w:rsidRDefault="00E74FE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43,4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37,9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33,3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35,3 </w:t>
            </w:r>
          </w:p>
        </w:tc>
        <w:tc>
          <w:tcPr>
            <w:tcW w:w="85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31,6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33,4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30,5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32,2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29,4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30,7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28,8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30,1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Удельные размеры элементов территории жилого района определены для I очереди строительства, исходя из условий: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использования территории микрорайонов, перечисленных в примечании 2 к таблице 3;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сокращения территории спортивных сооружений жи</w:t>
      </w:r>
      <w:r>
        <w:rPr>
          <w:rFonts w:ascii="Times New Roman" w:hAnsi="Times New Roman"/>
          <w:sz w:val="20"/>
        </w:rPr>
        <w:t>лого района на 40% для подрайона IГ и 30% для подрайона IД;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применения нормы гаражей - 100 мест на 1000 жителей при условии хранения 50% парка в одноэтажных гаражах, 50% - в 3-х этажных манежного типа.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При изменении условий использования территорий микрорайонов  и жилых районов, указанных в примечании 2, табл. 7.3, необходимо соответственно изменять расчетные показатели удельных размеров элементов территории жилых районов.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Приложение 8 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429" type="#_x0000_t75" style="width:426.75pt;height:473.25pt">
            <v:imagedata r:id="rId145" o:title=""/>
          </v:shape>
        </w:pic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8.1</w:t>
      </w:r>
    </w:p>
    <w:p w:rsidR="00000000" w:rsidRDefault="00E74FE9">
      <w:pPr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8.1. Схемы систем вентиля</w:t>
      </w:r>
      <w:r>
        <w:rPr>
          <w:rFonts w:ascii="Times New Roman" w:hAnsi="Times New Roman"/>
          <w:sz w:val="20"/>
        </w:rPr>
        <w:t>ции и кондиционирования воздуха с применением циркуляционных подмешивающих насосов.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 - с установкой насоса на обратном трубопроводе теплоносителя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 - с установкой насоса на перемычке между подающим и обратным трубопроводами теплоносителя.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калориферная секция приточной установки;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2 - циркуляционный подмешивающий насос;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3 - регулирующий клапан на обратном теплоносителе;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4 - обратный клапан.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Примечание: Для зданий и сооружений, расположенных в 1 районе,  в приточных системах с регулируемой теплоотд</w:t>
      </w:r>
      <w:r>
        <w:rPr>
          <w:rFonts w:ascii="Times New Roman" w:hAnsi="Times New Roman"/>
          <w:sz w:val="20"/>
        </w:rPr>
        <w:t>ачей калориферных установок следует предусматривать резервные циркуляционные насосы.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430" type="#_x0000_t75" style="width:358.5pt;height:473.25pt">
            <v:imagedata r:id="rId146" o:title=""/>
          </v:shape>
        </w:pict>
      </w:r>
    </w:p>
    <w:p w:rsidR="00000000" w:rsidRDefault="00E74FE9">
      <w:pPr>
        <w:ind w:firstLine="180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8.2.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8.2. Схемы установки калориферов в системах приточной вентиляции, кондиционирования воздуха и воздушного отопления для зданий, строящихся в районах Северной строительно-климатической зоны.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 - для систем с рециркуляцией воздуха;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 - для систем без рециркуляции воздуха.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основной калорифер; 2 - дополнительный калорифер; 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3 - клапан на трубопроводе теплоносителя, открывающийся при температуре наруж</w:t>
      </w:r>
      <w:r>
        <w:rPr>
          <w:rFonts w:ascii="Times New Roman" w:hAnsi="Times New Roman"/>
          <w:sz w:val="20"/>
        </w:rPr>
        <w:t>ного воздуха минус 25°С;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4-5 - клапаны на воздуховодах: открывающийся (4) и закрывающийся (5) при  температуре наружного воздуха минус 25°С;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6 - обслуживаемое помещение.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Приложение 9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 разделу 3.7 "Конструктивные решения промышленных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зданий"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Рекомендуются к применению следующие виды типовых конструкций: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Наружные стены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Металлические трехслойные панели - шифры 143-83 и 206-84, распространяемые ЦИТП.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Металлические панели шириной 2-3 м и длиной до 12 м, по чертежам, разработанным ЭКБ ВПО "Союзстро</w:t>
      </w:r>
      <w:r>
        <w:rPr>
          <w:rFonts w:ascii="Times New Roman" w:hAnsi="Times New Roman"/>
          <w:sz w:val="20"/>
        </w:rPr>
        <w:t>йконструкция" совместно с ЦНИИпромзданий в 1986 г. для Первоуральского завода КМК.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Трехслойные железобетонные панели с эффективным теплоизоляционным слоем по чертежам ЦНИИпромзданий шифр 432-12.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Большая часть номенклатуры этих панелей может изготавливаться в формах для типовых однослойных легкобетонных панелей серии 1.030.1-1.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Легкобетонные панели - серия 1.030.1-1.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Перегородки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Серия 1.030.9-2. "Перегородки панельные зданий промышленных и сельскохозяйственных предприятий". (Утверждены постановле</w:t>
      </w:r>
      <w:r>
        <w:rPr>
          <w:rFonts w:ascii="Times New Roman" w:hAnsi="Times New Roman"/>
          <w:sz w:val="20"/>
        </w:rPr>
        <w:t>нием Госстроя СССР № 37 от 20.03.85 г. Распространяет  ЦИТП).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Серия 1.431.9-24/85 "Перегородки каркасные из гипрокаркасных листов для зданий промышленных предприятий" (Распространяет ЦИТП).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Шифр 206-85 "Перегородки с применением цементостружечных плит для зданий промышленных предприятий" (Распространяет ЦНИИпромзданий).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Шифр 143-86 "Перегородки каркасные с применением гипсоволокнистых плит для производственных зданий" (Распространяет ЦНИИпромзданий).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Серия 1.431-10 "Перегородки консольные сетчатые сталь</w:t>
      </w:r>
      <w:r>
        <w:rPr>
          <w:rFonts w:ascii="Times New Roman" w:hAnsi="Times New Roman"/>
          <w:sz w:val="20"/>
        </w:rPr>
        <w:t>ные" (Утверждены постановлением Госстроя СССР № 57 от 23.04.80. Распространяет ЦИТП).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Серия 1.431-9-25 "Перегородки панельные из асбестоцементных листов в стальном каркасе" (Утверждены постановлением Госстроя СССР № 37 от 30.03.84. Распространяет ЦИТП).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Серия 1.431.3-22 "Перегородки панельные с применением гнутых профилей из тонколистовой стали одноэтажных зданий" (Утверждены ОТП Госстроя СССР, протокол № 14 от 23.03.82 г. Распространяет ЦИТП).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Серия 1.431.3-26 "Перегородки панельные с применением гнуты</w:t>
      </w:r>
      <w:r>
        <w:rPr>
          <w:rFonts w:ascii="Times New Roman" w:hAnsi="Times New Roman"/>
          <w:sz w:val="20"/>
        </w:rPr>
        <w:t xml:space="preserve">х профилей из тонколистовой стали многоэтажных промышленных зданий" (Утверждены Главоргпроектом Госстроя СССР, протокол № 49, от 7.06.85 г. Распространяет ЦИТП).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Покрытия и кровли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Для отапливаемых зданий рекомендуются к применению двухслойные кровельные панели, производимые на непрерывных конвейерных линиях по ГОСТ 24524-80 "Панели стальные двухслойные покрытий зданий с утеплителем из пенополиуретана".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Куйбышевском заводе "Электрощит" освоено производство таких панелей с покровным слоем из пергам</w:t>
      </w:r>
      <w:r>
        <w:rPr>
          <w:rFonts w:ascii="Times New Roman" w:hAnsi="Times New Roman"/>
          <w:sz w:val="20"/>
        </w:rPr>
        <w:t>ина и рубероида. Этот слой является нижним слоем кровельного ковра. В построечных условиях производится выполнение остальных слоев рубероида и защитного слоя из гравия.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Для покрытий с применением двухслойных кровельных панелей разработаны и действуют: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"Руководство по применению двухслойных кровельных панелей в покрытиях промышленных зданий", а также типовая серия 2.460-16 "Узлы покрытий одноэтажных производственных зданий из двухслойных панелей".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Значительное снижение трудозатрат в построечных условия</w:t>
      </w:r>
      <w:r>
        <w:rPr>
          <w:rFonts w:ascii="Times New Roman" w:hAnsi="Times New Roman"/>
          <w:sz w:val="20"/>
        </w:rPr>
        <w:t>х может достигаться, если в качестве покровного слоя на двухслойных кровельных панелях применять полимерный рулонный материал на основе бутилкаучука, например, армогидробутил, который будет являться и основным водоизоляционным ковром.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этом случае в построечных условиях потребуется только наклеивать полосу армогидробутила по стыкам панелей и по периметру покрытия.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Такие панели начали осваивать на Ташкентском заводе легких строительных конструкций (Минмонтажспецстрой СССР), а также на Хабаровском заводе а</w:t>
      </w:r>
      <w:r>
        <w:rPr>
          <w:rFonts w:ascii="Times New Roman" w:hAnsi="Times New Roman"/>
          <w:sz w:val="20"/>
        </w:rPr>
        <w:t>люминиевых строительных конструкций (Минтяжстрой СССР).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защиты кровельного ковра от воздействия атмосферных факторов рекомендуется предусматривать защитный слой из гравия.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Двухслойные кровельные панели, обладая рядом положительных качеств, имеют недостаток, ограничивающий область их применения - это горючесть полиуретанового пенопласта. На Павлодарском заводе строительных конструкций по предложению ЦНИИСК им. Кучеренко осваивается производство двухслойных кровельных панелей с утеплителем из фенольн</w:t>
      </w:r>
      <w:r>
        <w:rPr>
          <w:rFonts w:ascii="Times New Roman" w:hAnsi="Times New Roman"/>
          <w:sz w:val="20"/>
        </w:rPr>
        <w:t>ого пенопласта, который является трудносгораемым. Покровный слой может быть из таких же материалов, как и в панелях с утеплителем из пенополиуретана, т.е. пергамина, рубероида или армогидробутила.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Для применения кровель из эластомерных материалов разработаны "Рекомендации по применению в кровлях рулонных материалов на основе бутилкаучука". М., Стройиздат, 1985 г.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Полы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 Проектирование полов из крупноразмерных комплексных плит следует осуществлять в соответствии с "Рекомендациями по проектированию и </w:t>
      </w:r>
      <w:r>
        <w:rPr>
          <w:rFonts w:ascii="Times New Roman" w:hAnsi="Times New Roman"/>
          <w:sz w:val="20"/>
        </w:rPr>
        <w:t>устройству полов из комплексных плит" (Москва, ЦНИИпромзданий Госстроя СССР, 1977). Конструкцию крупноразмерных комплексных плит назначают в соответствии с альбомом "Типовые конструкции и узлы зданий и сооружений. Крупноразмерные комплексные плиты для полов производственных зданий промышленных предприятий. Рабочие чертежи" (ЦИТП Госстроя СССР, шифр 2175-82).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Проектирование полов из унифицированных бетонных блоков следует осуществлять в соответствии с "Рекомендациями по проектированию и устройству полов </w:t>
      </w:r>
      <w:r>
        <w:rPr>
          <w:rFonts w:ascii="Times New Roman" w:hAnsi="Times New Roman"/>
          <w:sz w:val="20"/>
        </w:rPr>
        <w:t xml:space="preserve">из унифицированных бетонных блоков" (ЦНИИпромзданий, М., 1985).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Номенклатура унифицированных бетонных блоков, рекомендуемых для применения в полах, приведена в табл. 9.1.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9.1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35"/>
        <w:gridCol w:w="2100"/>
        <w:gridCol w:w="1425"/>
        <w:gridCol w:w="1425"/>
        <w:gridCol w:w="1410"/>
        <w:gridCol w:w="133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№№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п/п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Марка блока </w:t>
            </w:r>
          </w:p>
        </w:tc>
        <w:tc>
          <w:tcPr>
            <w:tcW w:w="42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Размеры блока, мм </w:t>
            </w:r>
          </w:p>
        </w:tc>
        <w:tc>
          <w:tcPr>
            <w:tcW w:w="133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Справочная масса, кг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100" w:type="dxa"/>
            <w:tcBorders>
              <w:lef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толщина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ширина 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длина </w:t>
            </w:r>
          </w:p>
        </w:tc>
        <w:tc>
          <w:tcPr>
            <w:tcW w:w="133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00" w:type="dxa"/>
            <w:tcBorders>
              <w:top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БПТ 5.40 </w:t>
            </w:r>
          </w:p>
        </w:tc>
        <w:tc>
          <w:tcPr>
            <w:tcW w:w="142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</w:tc>
        <w:tc>
          <w:tcPr>
            <w:tcW w:w="1425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400 </w:t>
            </w:r>
          </w:p>
        </w:tc>
        <w:tc>
          <w:tcPr>
            <w:tcW w:w="1410" w:type="dxa"/>
            <w:tcBorders>
              <w:top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400 </w:t>
            </w:r>
          </w:p>
        </w:tc>
        <w:tc>
          <w:tcPr>
            <w:tcW w:w="133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00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БПТ 8.30 </w:t>
            </w:r>
          </w:p>
        </w:tc>
        <w:tc>
          <w:tcPr>
            <w:tcW w:w="14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 </w:t>
            </w:r>
          </w:p>
        </w:tc>
        <w:tc>
          <w:tcPr>
            <w:tcW w:w="14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 </w:t>
            </w:r>
          </w:p>
        </w:tc>
        <w:tc>
          <w:tcPr>
            <w:tcW w:w="14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 </w:t>
            </w:r>
          </w:p>
        </w:tc>
        <w:tc>
          <w:tcPr>
            <w:tcW w:w="133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lef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00" w:type="dxa"/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БПТ 10.30 </w:t>
            </w:r>
          </w:p>
        </w:tc>
        <w:tc>
          <w:tcPr>
            <w:tcW w:w="14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1425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 </w:t>
            </w:r>
          </w:p>
        </w:tc>
        <w:tc>
          <w:tcPr>
            <w:tcW w:w="1410" w:type="dxa"/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 </w:t>
            </w:r>
          </w:p>
        </w:tc>
        <w:tc>
          <w:tcPr>
            <w:tcW w:w="1335" w:type="dxa"/>
            <w:tcBorders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3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</w:t>
            </w: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100" w:type="dxa"/>
            <w:tcBorders>
              <w:bottom w:val="single" w:sz="6" w:space="0" w:color="auto"/>
            </w:tcBorders>
          </w:tcPr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БПТ 12.30 </w:t>
            </w:r>
          </w:p>
        </w:tc>
        <w:tc>
          <w:tcPr>
            <w:tcW w:w="142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 </w:t>
            </w:r>
          </w:p>
        </w:tc>
        <w:tc>
          <w:tcPr>
            <w:tcW w:w="1425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 </w:t>
            </w:r>
          </w:p>
        </w:tc>
        <w:tc>
          <w:tcPr>
            <w:tcW w:w="1410" w:type="dxa"/>
            <w:tcBorders>
              <w:bottom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300 </w:t>
            </w:r>
          </w:p>
        </w:tc>
        <w:tc>
          <w:tcPr>
            <w:tcW w:w="133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74FE9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24 </w:t>
            </w:r>
          </w:p>
        </w:tc>
      </w:tr>
    </w:tbl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Светопропускающие конструкции </w:t>
      </w:r>
    </w:p>
    <w:p w:rsidR="00000000" w:rsidRDefault="00E74FE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 В зданиях </w:t>
      </w:r>
      <w:r>
        <w:rPr>
          <w:rFonts w:ascii="Times New Roman" w:hAnsi="Times New Roman"/>
          <w:sz w:val="20"/>
        </w:rPr>
        <w:t>с сухим и нормальным влажностным режимом рекомендуются к применению окна: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со стальными раздельными переплетами по сериям 1.436.2-15 и 1.436.3-16, а также окна с раздельными переплетами и трехслойным остеклением (ЦНИИпромзданий, шифр 204-85);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с деревянными переплетами (ЦНИИпромзданий, шифр 208-83);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с деревоалюминиевыми переплетами (ЦНИИпромзданий, шифр 108-81).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Рекомендуются к применению конструкции зенитных фонарей со стальными переплетами и трехслойным остеклением: 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с размерами светового пр</w:t>
      </w:r>
      <w:r>
        <w:rPr>
          <w:rFonts w:ascii="Times New Roman" w:hAnsi="Times New Roman"/>
          <w:sz w:val="20"/>
        </w:rPr>
        <w:t>оема 1,5х1,7 м по серии 1.464.2-21;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с размерами светового проема 1,0х1,4 м (ЦНИИпромзданий, шифр 208-85);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с размерами светового проема 2,7х2,7 м (ЦНИИпромзданий, шифр 225-84);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- с размерами светового проема 2,9х2,9 м (ЦНИИпромзданий, шифр 245-79);</w:t>
      </w: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74FE9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 также одноярусные П-образные светоаэрационные фонари серии 1.464.11/82. </w:t>
      </w:r>
    </w:p>
    <w:p w:rsidR="00000000" w:rsidRDefault="00E74FE9">
      <w:pPr>
        <w:rPr>
          <w:rFonts w:ascii="Times New Roman" w:hAnsi="Times New Roman"/>
          <w:sz w:val="20"/>
        </w:rPr>
      </w:pPr>
    </w:p>
    <w:p w:rsidR="00000000" w:rsidRDefault="00E74FE9">
      <w:pPr>
        <w:ind w:firstLine="225"/>
        <w:jc w:val="both"/>
        <w:rPr>
          <w:rFonts w:ascii="Times New Roman" w:hAnsi="Times New Roman"/>
          <w:sz w:val="20"/>
        </w:rPr>
      </w:pP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4FE9"/>
    <w:rsid w:val="00E7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wmf"/><Relationship Id="rId117" Type="http://schemas.openxmlformats.org/officeDocument/2006/relationships/image" Target="media/image113.png"/><Relationship Id="rId21" Type="http://schemas.openxmlformats.org/officeDocument/2006/relationships/image" Target="media/image17.wmf"/><Relationship Id="rId42" Type="http://schemas.openxmlformats.org/officeDocument/2006/relationships/image" Target="media/image38.wmf"/><Relationship Id="rId47" Type="http://schemas.openxmlformats.org/officeDocument/2006/relationships/image" Target="media/image43.wmf"/><Relationship Id="rId63" Type="http://schemas.openxmlformats.org/officeDocument/2006/relationships/image" Target="media/image59.wmf"/><Relationship Id="rId68" Type="http://schemas.openxmlformats.org/officeDocument/2006/relationships/image" Target="media/image64.wmf"/><Relationship Id="rId84" Type="http://schemas.openxmlformats.org/officeDocument/2006/relationships/image" Target="media/image80.wmf"/><Relationship Id="rId89" Type="http://schemas.openxmlformats.org/officeDocument/2006/relationships/image" Target="media/image85.wmf"/><Relationship Id="rId112" Type="http://schemas.openxmlformats.org/officeDocument/2006/relationships/image" Target="media/image108.png"/><Relationship Id="rId133" Type="http://schemas.openxmlformats.org/officeDocument/2006/relationships/image" Target="media/image128.png"/><Relationship Id="rId138" Type="http://schemas.openxmlformats.org/officeDocument/2006/relationships/image" Target="media/image132.png"/><Relationship Id="rId16" Type="http://schemas.openxmlformats.org/officeDocument/2006/relationships/image" Target="media/image12.wmf"/><Relationship Id="rId107" Type="http://schemas.openxmlformats.org/officeDocument/2006/relationships/image" Target="media/image103.wmf"/><Relationship Id="rId11" Type="http://schemas.openxmlformats.org/officeDocument/2006/relationships/image" Target="media/image7.wmf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wmf"/><Relationship Id="rId58" Type="http://schemas.openxmlformats.org/officeDocument/2006/relationships/image" Target="media/image54.wmf"/><Relationship Id="rId74" Type="http://schemas.openxmlformats.org/officeDocument/2006/relationships/image" Target="media/image70.wmf"/><Relationship Id="rId79" Type="http://schemas.openxmlformats.org/officeDocument/2006/relationships/image" Target="media/image75.wmf"/><Relationship Id="rId102" Type="http://schemas.openxmlformats.org/officeDocument/2006/relationships/image" Target="media/image98.wmf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38.wmf"/><Relationship Id="rId5" Type="http://schemas.openxmlformats.org/officeDocument/2006/relationships/oleObject" Target="embeddings/oleObject1.bin"/><Relationship Id="rId90" Type="http://schemas.openxmlformats.org/officeDocument/2006/relationships/image" Target="media/image86.wmf"/><Relationship Id="rId95" Type="http://schemas.openxmlformats.org/officeDocument/2006/relationships/image" Target="media/image91.wmf"/><Relationship Id="rId22" Type="http://schemas.openxmlformats.org/officeDocument/2006/relationships/image" Target="media/image18.wmf"/><Relationship Id="rId27" Type="http://schemas.openxmlformats.org/officeDocument/2006/relationships/image" Target="media/image23.wmf"/><Relationship Id="rId43" Type="http://schemas.openxmlformats.org/officeDocument/2006/relationships/image" Target="media/image39.wmf"/><Relationship Id="rId48" Type="http://schemas.openxmlformats.org/officeDocument/2006/relationships/image" Target="media/image44.wmf"/><Relationship Id="rId64" Type="http://schemas.openxmlformats.org/officeDocument/2006/relationships/image" Target="media/image60.wmf"/><Relationship Id="rId69" Type="http://schemas.openxmlformats.org/officeDocument/2006/relationships/image" Target="media/image65.wmf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oleObject" Target="embeddings/oleObject3.bin"/><Relationship Id="rId139" Type="http://schemas.openxmlformats.org/officeDocument/2006/relationships/image" Target="media/image133.wmf"/><Relationship Id="rId80" Type="http://schemas.openxmlformats.org/officeDocument/2006/relationships/image" Target="media/image76.wmf"/><Relationship Id="rId85" Type="http://schemas.openxmlformats.org/officeDocument/2006/relationships/image" Target="media/image81.wmf"/><Relationship Id="rId3" Type="http://schemas.openxmlformats.org/officeDocument/2006/relationships/webSettings" Target="webSettings.xml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wmf"/><Relationship Id="rId59" Type="http://schemas.openxmlformats.org/officeDocument/2006/relationships/image" Target="media/image55.wmf"/><Relationship Id="rId67" Type="http://schemas.openxmlformats.org/officeDocument/2006/relationships/image" Target="media/image63.wmf"/><Relationship Id="rId103" Type="http://schemas.openxmlformats.org/officeDocument/2006/relationships/image" Target="media/image99.wmf"/><Relationship Id="rId108" Type="http://schemas.openxmlformats.org/officeDocument/2006/relationships/image" Target="media/image104.wmf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wmf"/><Relationship Id="rId137" Type="http://schemas.openxmlformats.org/officeDocument/2006/relationships/image" Target="media/image131.png"/><Relationship Id="rId20" Type="http://schemas.openxmlformats.org/officeDocument/2006/relationships/image" Target="media/image16.wmf"/><Relationship Id="rId41" Type="http://schemas.openxmlformats.org/officeDocument/2006/relationships/image" Target="media/image37.wmf"/><Relationship Id="rId54" Type="http://schemas.openxmlformats.org/officeDocument/2006/relationships/image" Target="media/image50.wmf"/><Relationship Id="rId62" Type="http://schemas.openxmlformats.org/officeDocument/2006/relationships/image" Target="media/image58.wmf"/><Relationship Id="rId70" Type="http://schemas.openxmlformats.org/officeDocument/2006/relationships/image" Target="media/image66.wmf"/><Relationship Id="rId75" Type="http://schemas.openxmlformats.org/officeDocument/2006/relationships/image" Target="media/image71.wmf"/><Relationship Id="rId83" Type="http://schemas.openxmlformats.org/officeDocument/2006/relationships/image" Target="media/image79.wmf"/><Relationship Id="rId88" Type="http://schemas.openxmlformats.org/officeDocument/2006/relationships/image" Target="media/image84.wmf"/><Relationship Id="rId91" Type="http://schemas.openxmlformats.org/officeDocument/2006/relationships/image" Target="media/image87.wmf"/><Relationship Id="rId96" Type="http://schemas.openxmlformats.org/officeDocument/2006/relationships/image" Target="media/image92.wmf"/><Relationship Id="rId111" Type="http://schemas.openxmlformats.org/officeDocument/2006/relationships/image" Target="media/image107.png"/><Relationship Id="rId132" Type="http://schemas.openxmlformats.org/officeDocument/2006/relationships/oleObject" Target="embeddings/oleObject2.bin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image" Target="media/image11.wmf"/><Relationship Id="rId23" Type="http://schemas.openxmlformats.org/officeDocument/2006/relationships/image" Target="media/image19.wmf"/><Relationship Id="rId28" Type="http://schemas.openxmlformats.org/officeDocument/2006/relationships/image" Target="media/image24.wmf"/><Relationship Id="rId36" Type="http://schemas.openxmlformats.org/officeDocument/2006/relationships/image" Target="media/image32.png"/><Relationship Id="rId49" Type="http://schemas.openxmlformats.org/officeDocument/2006/relationships/image" Target="media/image45.wmf"/><Relationship Id="rId57" Type="http://schemas.openxmlformats.org/officeDocument/2006/relationships/image" Target="media/image53.wmf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wmf"/><Relationship Id="rId127" Type="http://schemas.openxmlformats.org/officeDocument/2006/relationships/image" Target="media/image123.png"/><Relationship Id="rId10" Type="http://schemas.openxmlformats.org/officeDocument/2006/relationships/image" Target="media/image6.wmf"/><Relationship Id="rId31" Type="http://schemas.openxmlformats.org/officeDocument/2006/relationships/image" Target="media/image27.png"/><Relationship Id="rId44" Type="http://schemas.openxmlformats.org/officeDocument/2006/relationships/image" Target="media/image40.wmf"/><Relationship Id="rId52" Type="http://schemas.openxmlformats.org/officeDocument/2006/relationships/image" Target="media/image48.wmf"/><Relationship Id="rId60" Type="http://schemas.openxmlformats.org/officeDocument/2006/relationships/image" Target="media/image56.wmf"/><Relationship Id="rId65" Type="http://schemas.openxmlformats.org/officeDocument/2006/relationships/image" Target="media/image61.wmf"/><Relationship Id="rId73" Type="http://schemas.openxmlformats.org/officeDocument/2006/relationships/image" Target="media/image69.wmf"/><Relationship Id="rId78" Type="http://schemas.openxmlformats.org/officeDocument/2006/relationships/image" Target="media/image74.wmf"/><Relationship Id="rId81" Type="http://schemas.openxmlformats.org/officeDocument/2006/relationships/image" Target="media/image77.wmf"/><Relationship Id="rId86" Type="http://schemas.openxmlformats.org/officeDocument/2006/relationships/image" Target="media/image82.wmf"/><Relationship Id="rId94" Type="http://schemas.openxmlformats.org/officeDocument/2006/relationships/image" Target="media/image90.wmf"/><Relationship Id="rId99" Type="http://schemas.openxmlformats.org/officeDocument/2006/relationships/image" Target="media/image95.wmf"/><Relationship Id="rId101" Type="http://schemas.openxmlformats.org/officeDocument/2006/relationships/image" Target="media/image97.wmf"/><Relationship Id="rId122" Type="http://schemas.openxmlformats.org/officeDocument/2006/relationships/image" Target="media/image118.wmf"/><Relationship Id="rId130" Type="http://schemas.openxmlformats.org/officeDocument/2006/relationships/image" Target="media/image126.png"/><Relationship Id="rId135" Type="http://schemas.openxmlformats.org/officeDocument/2006/relationships/image" Target="media/image129.png"/><Relationship Id="rId143" Type="http://schemas.openxmlformats.org/officeDocument/2006/relationships/image" Target="media/image137.wmf"/><Relationship Id="rId148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wmf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39" Type="http://schemas.openxmlformats.org/officeDocument/2006/relationships/image" Target="media/image35.png"/><Relationship Id="rId109" Type="http://schemas.openxmlformats.org/officeDocument/2006/relationships/image" Target="media/image105.wmf"/><Relationship Id="rId34" Type="http://schemas.openxmlformats.org/officeDocument/2006/relationships/image" Target="media/image30.png"/><Relationship Id="rId50" Type="http://schemas.openxmlformats.org/officeDocument/2006/relationships/image" Target="media/image46.wmf"/><Relationship Id="rId55" Type="http://schemas.openxmlformats.org/officeDocument/2006/relationships/image" Target="media/image51.wmf"/><Relationship Id="rId76" Type="http://schemas.openxmlformats.org/officeDocument/2006/relationships/image" Target="media/image72.wmf"/><Relationship Id="rId97" Type="http://schemas.openxmlformats.org/officeDocument/2006/relationships/image" Target="media/image93.wmf"/><Relationship Id="rId104" Type="http://schemas.openxmlformats.org/officeDocument/2006/relationships/image" Target="media/image100.png"/><Relationship Id="rId120" Type="http://schemas.openxmlformats.org/officeDocument/2006/relationships/image" Target="media/image116.wmf"/><Relationship Id="rId125" Type="http://schemas.openxmlformats.org/officeDocument/2006/relationships/image" Target="media/image121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7" Type="http://schemas.openxmlformats.org/officeDocument/2006/relationships/image" Target="media/image3.wmf"/><Relationship Id="rId71" Type="http://schemas.openxmlformats.org/officeDocument/2006/relationships/image" Target="media/image67.wmf"/><Relationship Id="rId92" Type="http://schemas.openxmlformats.org/officeDocument/2006/relationships/image" Target="media/image88.wmf"/><Relationship Id="rId2" Type="http://schemas.openxmlformats.org/officeDocument/2006/relationships/settings" Target="settings.xml"/><Relationship Id="rId29" Type="http://schemas.openxmlformats.org/officeDocument/2006/relationships/image" Target="media/image25.wmf"/><Relationship Id="rId24" Type="http://schemas.openxmlformats.org/officeDocument/2006/relationships/image" Target="media/image20.wmf"/><Relationship Id="rId40" Type="http://schemas.openxmlformats.org/officeDocument/2006/relationships/image" Target="media/image36.wmf"/><Relationship Id="rId45" Type="http://schemas.openxmlformats.org/officeDocument/2006/relationships/image" Target="media/image41.wmf"/><Relationship Id="rId66" Type="http://schemas.openxmlformats.org/officeDocument/2006/relationships/image" Target="media/image62.wmf"/><Relationship Id="rId87" Type="http://schemas.openxmlformats.org/officeDocument/2006/relationships/image" Target="media/image83.wmf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0.wmf"/><Relationship Id="rId61" Type="http://schemas.openxmlformats.org/officeDocument/2006/relationships/image" Target="media/image57.wmf"/><Relationship Id="rId82" Type="http://schemas.openxmlformats.org/officeDocument/2006/relationships/image" Target="media/image78.wmf"/><Relationship Id="rId19" Type="http://schemas.openxmlformats.org/officeDocument/2006/relationships/image" Target="media/image15.wmf"/><Relationship Id="rId14" Type="http://schemas.openxmlformats.org/officeDocument/2006/relationships/image" Target="media/image10.wmf"/><Relationship Id="rId30" Type="http://schemas.openxmlformats.org/officeDocument/2006/relationships/image" Target="media/image26.wmf"/><Relationship Id="rId35" Type="http://schemas.openxmlformats.org/officeDocument/2006/relationships/image" Target="media/image31.png"/><Relationship Id="rId56" Type="http://schemas.openxmlformats.org/officeDocument/2006/relationships/image" Target="media/image52.wmf"/><Relationship Id="rId77" Type="http://schemas.openxmlformats.org/officeDocument/2006/relationships/image" Target="media/image73.wmf"/><Relationship Id="rId100" Type="http://schemas.openxmlformats.org/officeDocument/2006/relationships/image" Target="media/image96.wmf"/><Relationship Id="rId105" Type="http://schemas.openxmlformats.org/officeDocument/2006/relationships/image" Target="media/image101.wmf"/><Relationship Id="rId126" Type="http://schemas.openxmlformats.org/officeDocument/2006/relationships/image" Target="media/image122.png"/><Relationship Id="rId147" Type="http://schemas.openxmlformats.org/officeDocument/2006/relationships/fontTable" Target="fontTable.xml"/><Relationship Id="rId8" Type="http://schemas.openxmlformats.org/officeDocument/2006/relationships/image" Target="media/image4.wmf"/><Relationship Id="rId51" Type="http://schemas.openxmlformats.org/officeDocument/2006/relationships/image" Target="media/image47.wmf"/><Relationship Id="rId72" Type="http://schemas.openxmlformats.org/officeDocument/2006/relationships/image" Target="media/image68.wmf"/><Relationship Id="rId93" Type="http://schemas.openxmlformats.org/officeDocument/2006/relationships/image" Target="media/image89.wmf"/><Relationship Id="rId98" Type="http://schemas.openxmlformats.org/officeDocument/2006/relationships/image" Target="media/image94.wmf"/><Relationship Id="rId121" Type="http://schemas.openxmlformats.org/officeDocument/2006/relationships/image" Target="media/image117.wmf"/><Relationship Id="rId142" Type="http://schemas.openxmlformats.org/officeDocument/2006/relationships/image" Target="media/image1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48918</Words>
  <Characters>278839</Characters>
  <Application>Microsoft Office Word</Application>
  <DocSecurity>0</DocSecurity>
  <Lines>2323</Lines>
  <Paragraphs>654</Paragraphs>
  <ScaleCrop>false</ScaleCrop>
  <Company>Elcom Ltd</Company>
  <LinksUpToDate>false</LinksUpToDate>
  <CharactersWithSpaces>327103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РСН 68-87</dc:title>
  <dc:subject/>
  <dc:creator>CNTI</dc:creator>
  <cp:keywords/>
  <dc:description/>
  <cp:lastModifiedBy>Parhomeiai</cp:lastModifiedBy>
  <cp:revision>2</cp:revision>
  <dcterms:created xsi:type="dcterms:W3CDTF">2013-04-11T11:46:00Z</dcterms:created>
  <dcterms:modified xsi:type="dcterms:W3CDTF">2013-04-11T11:46:00Z</dcterms:modified>
</cp:coreProperties>
</file>