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505A">
      <w:pPr>
        <w:pStyle w:val="FR1"/>
        <w:spacing w:line="240" w:lineRule="auto"/>
        <w:ind w:left="0"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РД 34.21.306-96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УДК 621.311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МЕТОДИЧЕСКИЕ УКАЗАНИЯ ПО ОБСЛЕДОВАНИЮ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ДИНАМИЧЕСКОГО СОСТОЯНИЯ СТРОИТЕЛЬНЫХ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КОНСТРУКЦИЙ СООРУЖЕНИЙ И ФУНДАМЕНТОВ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ОБОРУДОВАНИЯ ЭНЕРГОПРЕДПРИЯТИЙ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Разработано</w:t>
      </w:r>
      <w:r>
        <w:rPr>
          <w:sz w:val="20"/>
        </w:rPr>
        <w:t xml:space="preserve"> Открытым акционерным обществом "Фирма по наладке, совершенствованию те</w:t>
      </w:r>
      <w:r>
        <w:rPr>
          <w:sz w:val="20"/>
        </w:rPr>
        <w:t>хнологии и эксплуатации электростанций и сетей ОРГРЭС"</w:t>
      </w: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Исполнители</w:t>
      </w:r>
      <w:r>
        <w:rPr>
          <w:sz w:val="20"/>
        </w:rPr>
        <w:t xml:space="preserve"> </w:t>
      </w:r>
      <w:r>
        <w:rPr>
          <w:i/>
          <w:sz w:val="20"/>
        </w:rPr>
        <w:t>В.П. ОСОЛОВСКИЙ, Л.В. ТЕН</w:t>
      </w: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Утверждено</w:t>
      </w:r>
      <w:r>
        <w:rPr>
          <w:sz w:val="20"/>
        </w:rPr>
        <w:t xml:space="preserve">  Департаментом науки и техники РАО "ЕЭС России" 24.06.96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Начальник   </w:t>
      </w:r>
      <w:r>
        <w:rPr>
          <w:i/>
          <w:sz w:val="20"/>
        </w:rPr>
        <w:t>А.П.БЕРСЕНЕВ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Введено впервые</w:t>
      </w: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Срок действия установлен с 01.06.98</w:t>
      </w: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i/>
          <w:sz w:val="20"/>
        </w:rPr>
      </w:pP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Настоящие Методические указания устанавливают порядок организации обследования динамического состояния строительных конструкций сооружений и фундаментов оборудования, оценки их пригодности к дальнейшей эксплуатации и предназначены для инженерно-технических работников </w:t>
      </w:r>
      <w:r>
        <w:rPr>
          <w:sz w:val="20"/>
        </w:rPr>
        <w:t>специализированных и проектных организаций, персонала энергопредприятий и энергоуправлений, занимающихся эксплуатацией, ремонтом и техническим обслуживанием.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 ОБЩИЕ ПОЛОЖЕНИЯ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настоящих Методических указаниях представлена информация о характере и интенсивности колебаний основных элементов строительных конструкций (диапазоне собственных и вынужденных частот колебаний, значениях колебаний), причинах повышенной вибрации (резонансных явлениях и пр.) и мероприятиях по уменьшению колебаний строительных конс</w:t>
      </w:r>
      <w:r>
        <w:rPr>
          <w:sz w:val="20"/>
        </w:rPr>
        <w:t>трукций и фундаментов зданий и оборудования.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Обследование динамического состояния строительных конструкций должно проводиться квалифицированным персоналом, обладающим навыками проведения испытаний и наблюдений.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Методических указаниях даны сведения по подбору необходимой аппаратуры для измерений вибрации строительных конструкций и оборудования в зависимости от особенностей обследования динамического состояния строительных конструкций и рекомендации по обработке материалов обследования.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Перечень терминов и </w:t>
      </w:r>
      <w:r>
        <w:rPr>
          <w:sz w:val="20"/>
        </w:rPr>
        <w:t>определений приведен в приложении.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 ПРИЧИНЫ ПОВЫШЕННОЙ ВИБРАЦИИ 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СТРОИТЕЛЬНЫХ КОНСТРУКЦИЙ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2.1. Основной причиной вибраций фундаментов и общего вибрационного фона в главном корпусе и других зданиях и сооружениях ТЭС является работа основного и вспомогательного оборудования (машин с динамическими нагрузками — турбоагрегатов, котлов, вентиляторов, дымососов, мельниц и т.д.).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 объектам обследования относятся: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фундаменты турбоагрегатов, от вибрационного состояния которых зависит надежность работы энергоблок</w:t>
      </w:r>
      <w:r>
        <w:rPr>
          <w:sz w:val="20"/>
        </w:rPr>
        <w:t>ов;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фундаменты агрегатов, участвующих в основном производственном процессе, отключение или замена которых нежелательны;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металлические каркасы водогрейных и энергетических котлов;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элементы опорных конструкций, на которых размещено оборудование, чувствительное к </w:t>
      </w:r>
      <w:r>
        <w:rPr>
          <w:sz w:val="20"/>
        </w:rPr>
        <w:lastRenderedPageBreak/>
        <w:t>вибрации;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постоянные рабочие места обслуживающего персонала;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несущие и ограждающие элементы строительных конструкций, которые при резонансных явлениях могут стать генератором интенсивности шума, причиной снижения их прочности и устойчивости, а в некот</w:t>
      </w:r>
      <w:r>
        <w:rPr>
          <w:sz w:val="20"/>
        </w:rPr>
        <w:t>орых случаях даже их обрушения.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2.2. Фундаменты машин при динамическом нагружении являются источником волн, которые вызывают вибрации других фундаментов и строительных конструкций зданий и сооружений.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определенных условиях фундаменты машин и оборудования могут испытывать значительные колебания, что способствует развитию деформаций фундаментов и конструкций, увеличению осадок основания, нарушению работы машин и технологического процесса, а также оказывать вредное воздействие на людей.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Система основание —</w:t>
      </w:r>
      <w:r>
        <w:rPr>
          <w:sz w:val="20"/>
        </w:rPr>
        <w:t xml:space="preserve"> фундамент — агрегат при динамических воздействиях должна выполнять следующие условия [9]:</w:t>
      </w:r>
    </w:p>
    <w:p w:rsidR="00000000" w:rsidRDefault="00B4505A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среднее статическое давление под подошвой фундамента на естественное основание </w:t>
      </w:r>
      <w:r>
        <w:rPr>
          <w:i/>
          <w:sz w:val="20"/>
        </w:rPr>
        <w:t>р</w:t>
      </w:r>
      <w:r>
        <w:rPr>
          <w:sz w:val="20"/>
        </w:rPr>
        <w:t xml:space="preserve"> для всех типов машин должно удовлетворять условию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4"/>
        </w:rPr>
        <w:t>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sym w:font="Symbol" w:char="F0A3"/>
      </w:r>
      <w:r>
        <w:rPr>
          <w:rFonts w:ascii="Times New Roman" w:hAnsi="Times New Roman"/>
          <w:i/>
          <w:sz w:val="24"/>
          <w:lang w:val="en-US"/>
        </w:rPr>
        <w:t xml:space="preserve"> j</w:t>
      </w:r>
      <w:r>
        <w:rPr>
          <w:rFonts w:ascii="Times New Roman" w:hAnsi="Times New Roman"/>
          <w:i/>
          <w:sz w:val="24"/>
          <w:vertAlign w:val="subscript"/>
          <w:lang w:val="en-US"/>
        </w:rPr>
        <w:t>co</w:t>
      </w:r>
      <w:r>
        <w:rPr>
          <w:rFonts w:ascii="Times New Roman" w:hAnsi="Times New Roman"/>
          <w:i/>
          <w:sz w:val="24"/>
          <w:lang w:val="en-US"/>
        </w:rPr>
        <w:t xml:space="preserve"> j</w:t>
      </w:r>
      <w:r>
        <w:rPr>
          <w:rFonts w:ascii="Times New Roman" w:hAnsi="Times New Roman"/>
          <w:i/>
          <w:sz w:val="24"/>
          <w:vertAlign w:val="subscript"/>
          <w:lang w:val="en-US"/>
        </w:rPr>
        <w:t>c1</w:t>
      </w:r>
      <w:r>
        <w:rPr>
          <w:rFonts w:ascii="Times New Roman" w:hAnsi="Times New Roman"/>
          <w:i/>
          <w:sz w:val="24"/>
          <w:lang w:val="en-US"/>
        </w:rPr>
        <w:t xml:space="preserve"> R,</w:t>
      </w:r>
      <w:r>
        <w:rPr>
          <w:rFonts w:ascii="Times New Roman" w:hAnsi="Times New Roman"/>
          <w:sz w:val="20"/>
        </w:rPr>
        <w:t xml:space="preserve">                 (1)</w:t>
      </w:r>
    </w:p>
    <w:p w:rsidR="00000000" w:rsidRDefault="00B4505A">
      <w:pPr>
        <w:spacing w:line="240" w:lineRule="auto"/>
        <w:ind w:firstLine="284"/>
        <w:rPr>
          <w:sz w:val="20"/>
          <w:lang w:val="en-US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р —</w:t>
      </w:r>
      <w:r>
        <w:rPr>
          <w:sz w:val="20"/>
        </w:rPr>
        <w:t xml:space="preserve"> среднее статическое давление под подошвой фундамента, кгс/см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j</w:t>
      </w:r>
      <w:r>
        <w:rPr>
          <w:i/>
          <w:sz w:val="24"/>
          <w:vertAlign w:val="subscript"/>
          <w:lang w:val="en-US"/>
        </w:rPr>
        <w:t>co</w:t>
      </w:r>
      <w:r>
        <w:rPr>
          <w:i/>
          <w:sz w:val="20"/>
        </w:rPr>
        <w:t xml:space="preserve"> —</w:t>
      </w:r>
      <w:r>
        <w:rPr>
          <w:sz w:val="20"/>
        </w:rPr>
        <w:t xml:space="preserve"> коэффициент условий работы, учитывающий характер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динамических нагрузок;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i/>
          <w:sz w:val="20"/>
          <w:lang w:val="en-US"/>
        </w:rPr>
        <w:t>j</w:t>
      </w:r>
      <w:r>
        <w:rPr>
          <w:i/>
          <w:sz w:val="24"/>
          <w:vertAlign w:val="subscript"/>
          <w:lang w:val="en-US"/>
        </w:rPr>
        <w:t>c1</w:t>
      </w:r>
      <w:r>
        <w:rPr>
          <w:i/>
          <w:sz w:val="20"/>
          <w:lang w:val="en-US"/>
        </w:rPr>
        <w:t xml:space="preserve"> —</w:t>
      </w:r>
      <w:r>
        <w:rPr>
          <w:sz w:val="20"/>
        </w:rPr>
        <w:t xml:space="preserve"> коэффициент условий работы грунтов основания;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</w:rPr>
        <w:t xml:space="preserve"> —</w:t>
      </w:r>
      <w:r>
        <w:rPr>
          <w:sz w:val="20"/>
        </w:rPr>
        <w:t xml:space="preserve"> расчетное сопротивление грунта основания, кгс/см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B4505A">
      <w:pPr>
        <w:spacing w:line="240" w:lineRule="auto"/>
        <w:ind w:firstLine="284"/>
        <w:rPr>
          <w:sz w:val="20"/>
          <w:lang w:val="en-US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наибольшая расчетная амплитуда А колебаний фундамента не должна превышать предельно допустимую амплитуду А</w:t>
      </w:r>
      <w:r>
        <w:rPr>
          <w:sz w:val="20"/>
          <w:vertAlign w:val="subscript"/>
        </w:rPr>
        <w:t>и</w:t>
      </w:r>
      <w:r>
        <w:rPr>
          <w:sz w:val="20"/>
        </w:rPr>
        <w:t xml:space="preserve"> , т.е.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4"/>
        </w:rPr>
        <w:t xml:space="preserve">А </w:t>
      </w:r>
      <w:r>
        <w:rPr>
          <w:sz w:val="24"/>
        </w:rPr>
        <w:sym w:font="Symbol" w:char="F0A3"/>
      </w:r>
      <w:r>
        <w:rPr>
          <w:sz w:val="24"/>
        </w:rPr>
        <w:t xml:space="preserve"> А</w:t>
      </w:r>
      <w:r>
        <w:rPr>
          <w:sz w:val="24"/>
          <w:vertAlign w:val="subscript"/>
        </w:rPr>
        <w:t>и</w:t>
      </w:r>
      <w:r>
        <w:rPr>
          <w:sz w:val="24"/>
        </w:rPr>
        <w:t>;</w:t>
      </w:r>
      <w:r>
        <w:rPr>
          <w:sz w:val="20"/>
        </w:rPr>
        <w:t xml:space="preserve">                     (2)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колебания фундаментов не должны оказывать вредного воздействия на обслуживающий персонал, технологические процессы, оборудование, расположенное на фундаменте или вне его, а также на строительные конструкции.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2.3. Повышенная вибрация фундаментов машин с динамическими нагрузками и прилегающих строительных конструкций обусловлена: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отсутствием на стадии проекти</w:t>
      </w:r>
      <w:r>
        <w:rPr>
          <w:sz w:val="20"/>
        </w:rPr>
        <w:t>рования в ряде случаев достаточно надежных данных о фактических динамических нагрузках, передаваемых машинами на фундамент, особенно машинами новых типов;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некорректным определением расчетных значений параметров колебаний фундаментов из-за несовершенства расчетных схем системы основание — фундамент — машина или неточности исходных данных о свойствах основания, в том числе его динамических характеристик;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отсутствием для машин некоторых видов методов динамического расчета их фундаментов, учитывающих с необходи</w:t>
      </w:r>
      <w:r>
        <w:rPr>
          <w:sz w:val="20"/>
        </w:rPr>
        <w:t>мой достоверностью специфику совместной работы таких машин с фундаментом и основанием;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неудачным (в отношении уменьшения динамических воздействий на конструкции и обеспечения нормальной работы машины) размещением фундамента в плане и расположением самой машины на фундаменте;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несоблюдением в полном объеме требований норм проектирования и применением нерациональных конструктивных решений отдельных частей и элементов фундамента, приводящим к занижению их массы и жесткости, усложнению формы верхней части фундам</w:t>
      </w:r>
      <w:r>
        <w:rPr>
          <w:sz w:val="20"/>
        </w:rPr>
        <w:t>ента, опиранию фундаментов машин на фундаменты несущего каркаса здания без должной виброизоляции;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недостаточным учетом при проектировании фундаментов под машины таких специфических факторов, как повышенные и неравномерные температурные воздействия от машины, увеличение амплитуд колебаний фундаментов при групповой работе неуравновешенных или ударных машин;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неудовлетворительным качеством работ по возведению фундамента и монтажу оборудования (в частности, изменением марки бетона, появлением не предусмотренных </w:t>
      </w:r>
      <w:r>
        <w:rPr>
          <w:sz w:val="20"/>
        </w:rPr>
        <w:t xml:space="preserve">проектом швов бетонирования, недостаточной или неравномерной жесткостью узлов крепления машин к </w:t>
      </w:r>
      <w:r>
        <w:rPr>
          <w:sz w:val="20"/>
        </w:rPr>
        <w:lastRenderedPageBreak/>
        <w:t>фундаменту и др.);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изменением условий эксплуатации системы машина — фундамент — основание вследствие износа машины и появления эксплуатационных расцентровок; ослаблением связи машины с фундаментом и появлением смещения между компонентами системы; статическим и динамическим деформированием фундамента, нарушением его контакта с основанием вследствие возникновения щелей между боковой поверхностью и грунтом засыпки, </w:t>
      </w:r>
      <w:r>
        <w:rPr>
          <w:sz w:val="20"/>
        </w:rPr>
        <w:t>снижением прочности грунта при характерном для всех промышленных площадок подъеме уровня грунтовых вод и одновременном действии вибраций, а также изменением конструктивной схемы строительных конструкций в процессе эксплуатации (добавлением или утратой отдельных связей, элементов, изменением эксплуатационных нагрузок, заменой оборудования и т.д.).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3. ОСОБЕННОСТИ ОБСЛЕДОВАНИЯ 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ДИНАМИЧЕСКОГО СОСТОЯНИЯ ФУНДАМЕНТОВ ОБОРУДОВАНИЯ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3.1. Обследование динамического состояния фундаментов оборудования включают: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</w:t>
      </w:r>
      <w:r>
        <w:rPr>
          <w:sz w:val="20"/>
        </w:rPr>
        <w:t>ление состояния машины, целостности связи ее с фундаментом, а также характера и степени деформирования фундамента;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измерение основных частот собственных и форм вынужденных колебаний, фактических амплитуд колебаний фундамента для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установки допустимости [6] их влияния на работу машины и технологический процесс;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изучение распространения колебаний от обследуемых фундаментов и их воздействия на соседние сооружения.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3.2. Оборудование ТЭС в зависимости от чувствительности к колебаниям основания можно распределить,</w:t>
      </w:r>
      <w:r>
        <w:rPr>
          <w:sz w:val="20"/>
        </w:rPr>
        <w:t xml:space="preserve"> как показано в табл. 1.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Таблица 1 </w:t>
      </w: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Классы оборудования ТЭС по чувствительности к вибрации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382"/>
        <w:gridCol w:w="4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Степень чувствительности оборудования к вибрации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виброскорость основания, мм/с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Высокочувствительное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Механические контрольно-измерительные приборы, электрические управляющие приборы, вычислительные и управляющие машины, точные оптические приборы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Среднечувствительное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Точные станки в мастерских и лабораториях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Низкочувствительное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Станки обычного класса то</w:t>
            </w:r>
            <w:r>
              <w:rPr>
                <w:sz w:val="20"/>
              </w:rPr>
              <w:t>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Нечувствительное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4,0</w:t>
            </w:r>
          </w:p>
        </w:tc>
        <w:tc>
          <w:tcPr>
            <w:tcW w:w="4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Турбины, котлы, насосы, вентиляторы, дымососы, мельницы и т.п.</w:t>
            </w: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Большинство машин и неподвижного оборудования, применяемого на ТЭС, относится к IV классу по чувствительности к колебаниям основания.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 высокочувствительному оборудованию относятся сборки в распределительных устройствах собственных нужд, в блочных и главных щитах управления, управляющие и вычислительные машины, пульты управления и др.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3.3. Эксплуатационный персонал должен следить затем, чтобы вибрация машин </w:t>
      </w:r>
      <w:r>
        <w:rPr>
          <w:sz w:val="20"/>
        </w:rPr>
        <w:t>находилась в пределах, регламентируемых ПТЭ[12].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3.3.1. При эксплуатации турбоагрегатов среднеквадратические значения виброскорости опор подшипников должны быть не выше 4,5 мм/с. При виброскорости свыше 7,1 мм/с эксплуатировать турбоагрегаты более 7 сут запрещается.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наличии системы защиты по предельному уровню вибрации уставка срабатывания должна быть настроена на отключение турбоагрегата при виброскорости 11,2 мм/с.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Временно (до оснащения необходимой аппаратурой) разрешается контроль вибрации по размах</w:t>
      </w:r>
      <w:r>
        <w:rPr>
          <w:sz w:val="20"/>
        </w:rPr>
        <w:t>у виброперемещения. Сопоставление измеренных размахов колебаний с нормативными среднеквадратическими значениями виброскорости осуществляется исходя из следующих соотношений: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Среднеквадратические значения виброскорости, мм/с ..................... 4,5        7,1      11,2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Эквивалентное значение размаха виброперемещений,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мкм, при частоте вращения турбины, об/мин: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              1500 ....................... 50       130       200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                      3000 ....................... 30         65       100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3.3.2. Вертикальная (удвоенная амплитуда колебаний) и поперечная составляющая вибрации, измеренные на подшипниках электродвигателей, сочлененных с углеразмольными механизмами, дымососами и другими механизмами, вращающиеся рабочие части которых быстро изнашиваются, должны быть не выше следующих значений: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Синхронная частота вращения, об/мин ................... 3000     1500     1000     750 и мен</w:t>
      </w:r>
      <w:r>
        <w:rPr>
          <w:sz w:val="20"/>
        </w:rPr>
        <w:t>ее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Допустимая вибрация подшипников, мкм................... 50       100       130     160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3.3.3. Для электродвигателей остальных механизмов нормы вибрации должны быть не выше следующих значений: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Синхронная частота вращения, об/мин ................... 3000     1500     1000     750 и менее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Допустимая вибрация подшипников, мкм................... 30         60         80       95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Допустимая вибрация подшипников рабочих органов вышеназванного оборудования приводится в паспортах и инструкциях по эксплуатации,</w:t>
      </w:r>
      <w:r>
        <w:rPr>
          <w:sz w:val="20"/>
        </w:rPr>
        <w:t xml:space="preserve"> прилагаемых заводами-изготовителями.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 Методика проведения обследования динамического состояния фундаментов турбоагрегатов предусматривает несколько этапов.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3.4.1. Непосредственно перед проведением измерений вибрации необходимо произвести сбор и анализ основных сведений по конструкции, монтажу, ремонту и эксплуатации турбоагрегата и его фундамента, а также данных контроля за вибрацией во время эксплуатации.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3.4.2. На первом этапе необходимо определить общее вибрационное состояние фундамента и выявить зо</w:t>
      </w:r>
      <w:r>
        <w:rPr>
          <w:sz w:val="20"/>
        </w:rPr>
        <w:t>ны с повышенными амплитудами. Для этого при работе агрегата в рабочем режиме необходимо измерить амплитуды вибрации подшипников турбоагрегата и фундамента. Точки измерения на фундаменте выбираются в непосредственной близости к опорным лампам подшипников, в местах сопряжения конструктивных элементов, на колоннах, в середине пролетов продольных и поперечных балок, на нижней опорной плите или ростверке. Точки и направления фиксации колебаний следует выбирать исходя из конструкции и размеров фундамента, типа ма</w:t>
      </w:r>
      <w:r>
        <w:rPr>
          <w:sz w:val="20"/>
        </w:rPr>
        <w:t>шины и характера ее крепления к фундаменту.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 рис. 1 в качестве примера приведена типовая форма (карта) для снятия параметров вибрации фундамента под турбину К-300-240 ХТГЗ.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Значение амплитуды вибрации определяется в вертикальном, поперечном (перпендикулярно оси агрегата) и продольном направлениях.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3.4.3. На втором этапе необходимо выявить причины неблагоприятной динамической работы фундамента. Для определения степени влияния возмущающих сил, возникающих при работе турбоагрегата, на значение амплитуды вибр</w:t>
      </w:r>
      <w:r>
        <w:rPr>
          <w:sz w:val="20"/>
        </w:rPr>
        <w:t>ации фундамента следует выполнить цикл измерений при работе агрегата в различных рабочих режимах.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Эти измерения необходимо выполнять при нулевой нагрузке с номинальным возбуждением на генераторе и при нагрузках 25; 50; 75 и 100% для определения влияния изменения нагрузки на вибрацию фундамента и оценки качества работы агрегата.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3.4.4. Для определения резонансных зон фундамента измерения вибрации должны производиться при работе турбоагрегата на холостом ходу при различной частоте вращения (от 900 до 3000 об/</w:t>
      </w:r>
      <w:r>
        <w:rPr>
          <w:sz w:val="20"/>
        </w:rPr>
        <w:t>мин) через каждые 200-300 об/мин.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полученных материалов строятся графики амплитудно-частотных характеристик различных точек фундамента и определяются частоты собственных колебаний его элементов. Частота собственных колебаний уточняется путем ее измерения при остановленном агрегате. Свободные колебания элемента фундамента возбуждаются ударной нагрузкой и записываются на пленку осциллографа.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0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16402" w:dyaOrig="8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358.5pt" o:ole="">
            <v:imagedata r:id="rId4" o:title=""/>
          </v:shape>
          <o:OLEObject Type="Embed" ProgID="MSPhotoEd.3" ShapeID="_x0000_i1025" DrawAspect="Content" ObjectID="_1427216772" r:id="rId5"/>
        </w:object>
      </w:r>
    </w:p>
    <w:p w:rsidR="00000000" w:rsidRDefault="00B4505A">
      <w:pPr>
        <w:spacing w:line="240" w:lineRule="auto"/>
        <w:ind w:firstLine="284"/>
        <w:jc w:val="center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Двойные амплитуды вибрации (размах колебаний) </w:t>
      </w:r>
    </w:p>
    <w:p w:rsidR="00000000" w:rsidRDefault="00B4505A">
      <w:pPr>
        <w:spacing w:line="240" w:lineRule="auto"/>
        <w:ind w:hanging="426"/>
        <w:jc w:val="center"/>
        <w:rPr>
          <w:sz w:val="20"/>
        </w:rPr>
      </w:pPr>
      <w:r>
        <w:rPr>
          <w:i/>
          <w:sz w:val="20"/>
        </w:rPr>
        <w:t>..... ГРЭС       турбоагрегат №</w:t>
      </w:r>
      <w:r>
        <w:rPr>
          <w:i/>
          <w:sz w:val="20"/>
        </w:rPr>
        <w:t>.....</w:t>
      </w:r>
    </w:p>
    <w:p w:rsidR="00000000" w:rsidRDefault="00B4505A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92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Мощность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8" w:type="dxa"/>
            <w:tcBorders>
              <w:righ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</w:p>
        </w:tc>
      </w:tr>
    </w:tbl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1. Типовая форма для виброисследования фундаментов турбоагрегатов мощностью 300 МВт: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1 -7 - соответствующие подшипники турбины; 8-12 - фундамент вблизи подшипников;  13-56 - фундамент турбоагрегата;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вертикальная, П - поперечная, 0 - осевая вибрация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 рис. 2 приведена в качестве примера амплитудно-частотная характеристика одной из рам фундамента</w:t>
      </w:r>
      <w:r>
        <w:rPr>
          <w:sz w:val="20"/>
        </w:rPr>
        <w:t xml:space="preserve"> под турбину мощностью 200 МВт. Подъемы ("пики") графика показывают прохождение агрегата через резонанс с соответствующими собственными частотами.</w:t>
      </w: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10335" w:dyaOrig="4170">
          <v:shape id="_x0000_i1026" type="#_x0000_t75" style="width:603.75pt;height:244.5pt" o:ole="">
            <v:imagedata r:id="rId6" o:title=""/>
          </v:shape>
          <o:OLEObject Type="Embed" ProgID="MSPhotoEd.3" ShapeID="_x0000_i1026" DrawAspect="Content" ObjectID="_1427216773" r:id="rId7"/>
        </w:object>
      </w:r>
    </w:p>
    <w:p w:rsidR="00000000" w:rsidRDefault="00B4505A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Рис.2. Амплитудно-частотная характеристика ригеля фундамента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3.4.5. Выявление отрыва фундаментной плиты, ослабления крепления анкерных болтов, появления трещин в фундаменте и зазоров по опорной поверхности корпусов подшипников осуществляется с помощью контурных характеристик, представляющих собой зависимость вибрации от расположения т</w:t>
      </w:r>
      <w:r>
        <w:rPr>
          <w:sz w:val="20"/>
        </w:rPr>
        <w:t>очек измерения на поверхности опоры, цилиндра (корпуса генератора, фундамента и т.п.).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Контурная характеристика позволяет определить пространственную форму колебания опорной системы агрегата, что используется при разработке мероприятий по устранению резонансных явлений.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Контурная характеристика снимается при одном либо нескольких установившихся режимах агрегатов, обычно под нагрузкой. Предварительно составляется схема расположения точек измерения. В каждой точке производятся измерения амплитуд и фазы ориент</w:t>
      </w:r>
      <w:r>
        <w:rPr>
          <w:sz w:val="20"/>
        </w:rPr>
        <w:t>ированных в пространстве компонентов вибрации. На рис. 3. представлены простейшая схема расположения точек измерения и контурная характеристика вибрации опоры, а на рис. 4 — некоторые случаи снижения жесткости опор, выявленные с помощью контурных характеристик.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3.4.6. Для установления дефекта конструкции или индивидуальных особенностей исследуемого агрегата и его фундамента сопоставляется работа нескольких однотипных агрегатов и их фундаментов.</w:t>
      </w: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9622" w:dyaOrig="6142">
          <v:shape id="_x0000_i1027" type="#_x0000_t75" style="width:415.5pt;height:264.75pt" o:ole="">
            <v:imagedata r:id="rId8" o:title=""/>
          </v:shape>
          <o:OLEObject Type="Embed" ProgID="MSPhotoEd.3" ShapeID="_x0000_i1027" DrawAspect="Content" ObjectID="_1427216774" r:id="rId9"/>
        </w:objec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3. Контурная характеристика вибр</w:t>
      </w:r>
      <w:r>
        <w:rPr>
          <w:rFonts w:ascii="Times New Roman" w:hAnsi="Times New Roman"/>
          <w:b/>
          <w:sz w:val="20"/>
        </w:rPr>
        <w:t>ации опоры: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1 -3 - корпус подшипника; 4 - фундаментная рама; 5 - фундамент;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2А - двойная амплитуда;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</w:rPr>
        <w:t>° - фаза колебаний</w:t>
      </w: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28" type="#_x0000_t75" style="width:348pt;height:112.5pt">
            <v:imagedata r:id="rId10" o:title=""/>
          </v:shape>
        </w:pic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4. Снижение жесткости опор: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при "опрокидывании" корпуса подшипника; б - вследствие отрыва опорной поверхности под действием реактивного момента статора; в - при деформации опорной поверхности; 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- зазор;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F-</w:t>
      </w:r>
      <w:r>
        <w:rPr>
          <w:rFonts w:ascii="Times New Roman" w:hAnsi="Times New Roman"/>
          <w:sz w:val="20"/>
        </w:rPr>
        <w:t xml:space="preserve"> сила; </w:t>
      </w:r>
      <w:r>
        <w:rPr>
          <w:rFonts w:ascii="Times New Roman" w:hAnsi="Times New Roman"/>
          <w:sz w:val="20"/>
        </w:rPr>
        <w:sym w:font="Symbol" w:char="F077"/>
      </w:r>
      <w:r>
        <w:rPr>
          <w:rFonts w:ascii="Times New Roman" w:hAnsi="Times New Roman"/>
          <w:sz w:val="20"/>
        </w:rPr>
        <w:t xml:space="preserve"> - направление вращения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3.5. Для оценки влияния фундамента на уровень колебаний элементов статора турбоагрегата рекомендуется пользоваться соотношениями между колеб</w:t>
      </w:r>
      <w:r>
        <w:rPr>
          <w:sz w:val="20"/>
        </w:rPr>
        <w:t>аниями опоры агрегата (А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 ) и несущего ее элемента фундамента (А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табл. 2 приведены результаты анализа этих соотношений по 12 турбоагрегатам К-300-240 + ТВВ-320-2 и 12 турбоагрегатам К-300-240 + ТГВ-300. Коэффициенты К (К = А</w:t>
      </w:r>
      <w:r>
        <w:rPr>
          <w:sz w:val="20"/>
          <w:vertAlign w:val="subscript"/>
        </w:rPr>
        <w:t>п</w:t>
      </w:r>
      <w:r>
        <w:rPr>
          <w:sz w:val="20"/>
        </w:rPr>
        <w:t>/А</w:t>
      </w:r>
      <w:r>
        <w:rPr>
          <w:sz w:val="20"/>
          <w:vertAlign w:val="subscript"/>
        </w:rPr>
        <w:t>ф</w:t>
      </w:r>
      <w:r>
        <w:rPr>
          <w:sz w:val="20"/>
        </w:rPr>
        <w:t>) имеют разные значения для разных опор, что характеризует разную динамическую податливость последних. Существенная разница этих коэффициентов для одних и тех же опор однотипных турбоагрегатов объясняется равным качеством изготовления фундаментов и монтажа опорных конструкций.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Предельным для некоторых турбоагрегатов является значение К &lt; 1, что не наблюдается у большинства турбоагрегатов, поскольку средние значения К = 1</w:t>
      </w:r>
      <w:r>
        <w:rPr>
          <w:sz w:val="20"/>
        </w:rPr>
        <w:sym w:font="Symbol" w:char="F0B8"/>
      </w:r>
      <w:r>
        <w:rPr>
          <w:sz w:val="20"/>
        </w:rPr>
        <w:t xml:space="preserve">10. Сопоставление коэффициентов </w:t>
      </w:r>
      <w:r>
        <w:rPr>
          <w:i/>
          <w:sz w:val="20"/>
        </w:rPr>
        <w:t>К</w:t>
      </w:r>
      <w:r>
        <w:rPr>
          <w:sz w:val="20"/>
        </w:rPr>
        <w:t xml:space="preserve"> с отношением динамических податливостей опор а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 и фундаментов а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показывает, что отношение динамических податливостей в большинстве случаев находятся внутри интервала значений коэффициентов </w:t>
      </w:r>
      <w:r>
        <w:rPr>
          <w:i/>
          <w:sz w:val="20"/>
        </w:rPr>
        <w:t>К</w:t>
      </w:r>
      <w:r>
        <w:rPr>
          <w:sz w:val="20"/>
        </w:rPr>
        <w:t xml:space="preserve"> для данной опоры.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Коэффициенты </w:t>
      </w:r>
      <w:r>
        <w:rPr>
          <w:i/>
          <w:sz w:val="20"/>
        </w:rPr>
        <w:t>К</w:t>
      </w:r>
      <w:r>
        <w:rPr>
          <w:sz w:val="20"/>
        </w:rPr>
        <w:t xml:space="preserve"> применимы для оценки динамического состояния конкретной опоры типового турбоагрегата и несущего ее элемент</w:t>
      </w:r>
      <w:r>
        <w:rPr>
          <w:sz w:val="20"/>
        </w:rPr>
        <w:t>а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Неудовлетворительное состояние конкретного несущего элемента фундамента может быть констатировано в случае существенного (например, более чем 50%) снижения </w:t>
      </w:r>
      <w:r>
        <w:rPr>
          <w:i/>
          <w:sz w:val="20"/>
        </w:rPr>
        <w:t>К</w:t>
      </w:r>
      <w:r>
        <w:rPr>
          <w:sz w:val="20"/>
        </w:rPr>
        <w:t xml:space="preserve"> по отношению к среднему уровню.</w:t>
      </w: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 2</w:t>
      </w:r>
    </w:p>
    <w:p w:rsidR="00000000" w:rsidRDefault="00B4505A">
      <w:pPr>
        <w:spacing w:line="240" w:lineRule="auto"/>
        <w:ind w:firstLine="284"/>
        <w:jc w:val="right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Соотношение между колебаниями опор подшипников и элементов 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фундамента турбоагрегатов 300 МВт (К = Ад / А )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405"/>
        <w:gridCol w:w="512"/>
        <w:gridCol w:w="491"/>
        <w:gridCol w:w="491"/>
        <w:gridCol w:w="491"/>
        <w:gridCol w:w="491"/>
        <w:gridCol w:w="502"/>
        <w:gridCol w:w="492"/>
        <w:gridCol w:w="492"/>
        <w:gridCol w:w="433"/>
        <w:gridCol w:w="525"/>
        <w:gridCol w:w="467"/>
        <w:gridCol w:w="524"/>
        <w:gridCol w:w="469"/>
        <w:gridCol w:w="556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Соотношение амплитуд колебаний и динамических податливостей </w:t>
            </w:r>
          </w:p>
        </w:tc>
        <w:tc>
          <w:tcPr>
            <w:tcW w:w="69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подшипника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турбоагрегатов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ЛМЗ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(макс)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,27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(мин)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(ср)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ф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ХТГЗ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vertAlign w:val="subscript"/>
                <w:lang w:val="en-US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 xml:space="preserve"> (макс)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(мин)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(ср)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z w:val="20"/>
              </w:rPr>
              <w:t>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ф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9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rPr>
                <w:b/>
                <w:i/>
                <w:sz w:val="20"/>
              </w:rPr>
            </w:pP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b/>
                <w:i/>
                <w:sz w:val="20"/>
              </w:rPr>
              <w:t>Примечание.</w:t>
            </w:r>
            <w:r>
              <w:rPr>
                <w:sz w:val="20"/>
              </w:rPr>
              <w:t xml:space="preserve"> А</w:t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>, А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п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Arial" w:char="0061"/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— соответственно амплитуды колебаний и абсолютные динамические податливости опор подшипников и несущих элементов фундамента; В и П — соответственно вертикальные и поперечные колебания.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табл. 3 приведены осредненные значения коэффициентов вибраций для фундаментов современных мощных турбоагрегатов, полученные на основе испытаний фундаментов турбин ЛМЗ и ХТГЗ мощ</w:t>
      </w:r>
      <w:r>
        <w:rPr>
          <w:sz w:val="20"/>
        </w:rPr>
        <w:t>ностью 200 и 300 МВт.</w:t>
      </w: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 3</w:t>
      </w:r>
    </w:p>
    <w:p w:rsidR="00000000" w:rsidRDefault="00B4505A">
      <w:pPr>
        <w:spacing w:line="240" w:lineRule="auto"/>
        <w:ind w:firstLine="284"/>
        <w:jc w:val="right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Осредненные значения коэффициентов вибраций для фундаментов современных мощных турбоагрегатов, полученные на основе испытаний фундаментов турбин ЛМЗ и ХТГЗ мощностью 200 и 300 МВт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03"/>
        <w:gridCol w:w="521"/>
        <w:gridCol w:w="524"/>
        <w:gridCol w:w="521"/>
        <w:gridCol w:w="521"/>
        <w:gridCol w:w="521"/>
        <w:gridCol w:w="5"/>
        <w:gridCol w:w="517"/>
        <w:gridCol w:w="521"/>
        <w:gridCol w:w="521"/>
        <w:gridCol w:w="8"/>
        <w:gridCol w:w="513"/>
        <w:gridCol w:w="543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3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вибраций сборных фундаментов турбоагрегатов мощностью 200-300 МВт (К)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 рамы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Узел элементов рамы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Середина высоты колонны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Ригель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Продольная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пр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Поперечные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П-образные рамы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0,8*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Поперечные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П-обр</w:t>
            </w:r>
            <w:r>
              <w:rPr>
                <w:sz w:val="20"/>
              </w:rPr>
              <w:t>азные рамы со сдвоенными стоиками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Незамкнутые рамы (без стоек)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* Значение К = 0,8 в середине стоек получено в удалении от подшипника, объясняется гибкостью стоек и на оценку динамической надежности фундамента не влияет.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b/>
                <w:i/>
                <w:sz w:val="20"/>
              </w:rPr>
              <w:t>Примечания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1. Предварительные значения коэффициентов подлежат уточнению по мере накопления данных для более мощных турбоагрегатов. — 2. В, П, Пр — соответственно вертикальное, поперечное и продольное </w:t>
            </w:r>
            <w:r>
              <w:rPr>
                <w:sz w:val="20"/>
              </w:rPr>
              <w:t>направления.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Коэффициенты вибрации дифференцированы по конструктивным элементам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Для обеспечения нормальных условий эксплуатации достаточно, чтобы амплитуды горизонтальных и вертикальных вибраций балок и плит верхнего строения фундамента для агрегатов с частотой вращения 3000 об/мин не превышали 15 мкм в зонах опирания подшипников и 25 мкм вне зон опирания подшипников. Для подагрегатных конструкций с агрегатами на 1500 об/мин эти значения удваиваются.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3.6. Конструкция фундаментов должна удовле</w:t>
      </w:r>
      <w:r>
        <w:rPr>
          <w:sz w:val="20"/>
        </w:rPr>
        <w:t>творять требованиям [6] исходя из возможности пребывания персонала на верхнем строении фундамента менее 1 ч в течение рабочего дня.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табл. 4 приведены допустимые значения параметров вибрации на постоянных рабочих местах в производственных помещениях при непрерывном воздействии в течение рабочего дня (8 ч), установленные [6]. При продолжительности воздействия вибрации менее 1 ч допустимые значения параметров вибрации следует увеличивать в 3 раза.</w:t>
      </w: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 4</w:t>
      </w:r>
    </w:p>
    <w:p w:rsidR="00000000" w:rsidRDefault="00B4505A">
      <w:pPr>
        <w:spacing w:line="240" w:lineRule="auto"/>
        <w:ind w:firstLine="284"/>
        <w:jc w:val="right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Санитарные нормы по ограничению вибрации рабочих </w:t>
      </w:r>
      <w:r>
        <w:rPr>
          <w:b/>
          <w:sz w:val="20"/>
        </w:rPr>
        <w:t>мест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985"/>
        <w:gridCol w:w="1279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Среднегеометрические и граничные (даны в скобках) частоты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Частота,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Амплитуда (пиковое значение) перемещения 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Среднеквадратическое значение виброскорости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октавных полос, Гц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Гц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 гармонических колебаниях, мм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мм/с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дБ относительно 5-10 мм/с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 (от 1,4 до 2,8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 (св. 2,8 до 5,6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 (св. 5,6 до 11,2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 (св</w:t>
            </w:r>
            <w:r>
              <w:rPr>
                <w:sz w:val="20"/>
              </w:rPr>
              <w:t>. 11,2 до 22,4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0,0225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31,5(св. 22,4 до 45,0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0,0102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63 (св. 45 до 90 вкл.)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3.7. Для ограничения влияния фундамента на уровень вибрации турбоагрегата предусмотрены предельные допуски деформации и кручения ригелей поперечных рам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За четырехлетний (межремонтный) период эксплуатации относительный прогиб (отношение </w:t>
      </w:r>
      <w:r>
        <w:rPr>
          <w:sz w:val="20"/>
        </w:rPr>
        <w:t>стрелы прогиба к длине плиты) не должен превышать 0,0001 при длине турбоагрегата до 40 м и 0,00015 при длине его 60-80 м. При промежуточных значениях длины турбоагрегата (40-60 м) допустимый относительный прогиб находится интерполяцией.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Деформации кручения ригелей под опорами роторов высокого и среднего давления, вызываемые тепловыми перемещениями турбины, не должны превышать ±0,6 мм/м.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3.8. При проектировании фундаментов под вспомогательное оборудование следует руководствоваться общими инструкциями и [7].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табл. 5 представлены предельные значения амплитуд колебаний фундаментов вспомогательного оборудования, методика проведения обследования динамического состояния которых та же, что и фундаментов турбоагрегатов. Из-за малых габаритных размеров и более простой конструкции, отсутствия ряда факторов, вызывающих дополнительные динамические нагрузки (меньшее число опор агрегата, отсутствие газодинамического воздействия и т.д.), по сравнению с фундаментами турбоагрегатов проведение измерений вибрации фундаментов в</w:t>
      </w:r>
      <w:r>
        <w:rPr>
          <w:sz w:val="20"/>
        </w:rPr>
        <w:t>спомогательного оборудования менее трудоемко, а наличие нормативных значений колебаний фундамента (см. табл. 5) делает оценку динамического состояния фундаментов вспомогательного оборудования менее сложной и более достоверной.</w:t>
      </w: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 5</w:t>
      </w:r>
    </w:p>
    <w:p w:rsidR="00000000" w:rsidRDefault="00B4505A">
      <w:pPr>
        <w:spacing w:line="240" w:lineRule="auto"/>
        <w:ind w:firstLine="284"/>
        <w:jc w:val="right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Предельно допустимая амплитуда колебаний фундамента, 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устанавливаемая заданием на проектирование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Машины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Предельно допустимая амплитуда колебаний 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 вращающимися частями при частоте вращения, об/мин: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горизонтальных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вертикальных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менее 500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св. 500 до 750 вкл.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7</w:t>
            </w:r>
            <w:r>
              <w:rPr>
                <w:sz w:val="20"/>
              </w:rPr>
              <w:t xml:space="preserve">50 до 1000 вкл.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св. 1000 до 1500 вкл.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0,2 до 0,15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0,15 до 0,1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 до 0,05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0,15 до 0,1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 до 0,06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кривошипно-шатунными механизмами при частоте вращения, об/мин: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для первой гармоники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для второй гармоники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менее 200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св. 1200 до 400 вкл.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св. 400 до 600 вкл.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0,25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0,25 до 0,15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0,15 до 0,1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Св. 0,15 до 0,1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0,1 до</w:t>
            </w:r>
            <w:r>
              <w:rPr>
                <w:smallCaps/>
                <w:sz w:val="20"/>
              </w:rPr>
              <w:t xml:space="preserve"> </w:t>
            </w:r>
            <w:r>
              <w:rPr>
                <w:sz w:val="20"/>
              </w:rPr>
              <w:t xml:space="preserve">0,05 вкл. </w:t>
            </w:r>
          </w:p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Дробилки конусные и шнековые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Дробилки молотковые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Как для машин с вращающимися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Кузнечные молоты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1,2(0,8*)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Прессы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Формовочные машины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 или по ГОСТ 12.1.012-90 (при расположении на фундаментах рабочих мест)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Мельницы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* При возведении фундаментов на всех водонасыщенных песках, а также на мелких и пылеватых маловлажных и влажных песках.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** Среднеквадратичесюе значение амплитуды колебаний.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b/>
                <w:sz w:val="20"/>
              </w:rPr>
              <w:t>Примечания:</w:t>
            </w:r>
            <w:r>
              <w:rPr>
                <w:sz w:val="20"/>
              </w:rPr>
              <w:t xml:space="preserve"> 1. Для промежуточных значений частоты вращения предельно допустимая амплитуда определяется интерполяцией.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2. Для м</w:t>
            </w:r>
            <w:r>
              <w:rPr>
                <w:sz w:val="20"/>
              </w:rPr>
              <w:t>ашин с частотой вращения 200 об/мин и менее при высоте фундаментов более 5 м предельно допустимая амплитуда увеличивается на 20%</w:t>
            </w: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ОСОБЕННОСТИ ОБСЛЕДОВАНИЯ ДИНАМИЧЕСКОГО 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СОСТОЯНИЯ СТРОИТЕЛЬНЫХ КОНСТРУКЦИЙ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4.1. Эксплуатационные динамические нагрузки строительных конструкций главного корпуса электростанции, в котором размещено основное и вспомогательное оборудование, как правило, невелики, и вызываемые ими напряжения в элементах конструкций значительно меньше напряжений от статической нагрузки.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Допустимы</w:t>
      </w:r>
      <w:r>
        <w:rPr>
          <w:sz w:val="20"/>
        </w:rPr>
        <w:t>й уровень вибрации этих конструкций определяется не только необходимостью обеспечения несущей способности конструкций при совместном действии статических и динамических нагрузок, но и пределами, которые исключают возможность вредного влияния на людей и технологический процесс.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Количественные характеристики допустимого уровня колебаний для промышленных сооружений при действии колебаний на людей в тяжелых производственных условиях приведены в табл.6.</w:t>
      </w:r>
    </w:p>
    <w:p w:rsidR="00000000" w:rsidRDefault="00B4505A">
      <w:pPr>
        <w:spacing w:line="240" w:lineRule="auto"/>
        <w:ind w:firstLine="284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Таблица 6 </w:t>
      </w:r>
    </w:p>
    <w:p w:rsidR="00000000" w:rsidRDefault="00B4505A">
      <w:pPr>
        <w:spacing w:line="240" w:lineRule="auto"/>
        <w:ind w:firstLine="284"/>
        <w:jc w:val="right"/>
        <w:rPr>
          <w:i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Характеристики воздействия колебаний на людей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 зависимости от скорости и ускорения гармонических 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колебаний с амплитудой не более 1 мм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16"/>
        <w:gridCol w:w="3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воздействия колебаний на людей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Предельное ускорение колебаний</w:t>
            </w:r>
            <w:r>
              <w:rPr>
                <w:sz w:val="20"/>
                <w:lang w:val="en-US"/>
              </w:rPr>
              <w:t xml:space="preserve"> Wмакс</w:t>
            </w:r>
            <w:r>
              <w:rPr>
                <w:sz w:val="20"/>
              </w:rPr>
              <w:t xml:space="preserve"> (мм/с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для частот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 до 10 Гц вкл.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скорость колебаний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Vмакс</w:t>
            </w:r>
            <w:r>
              <w:rPr>
                <w:sz w:val="20"/>
              </w:rPr>
              <w:t xml:space="preserve"> (мм/с) для частот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 до 10 Гц вкл.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Неощутимы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Слабо ощутимы</w:t>
            </w:r>
          </w:p>
        </w:tc>
        <w:tc>
          <w:tcPr>
            <w:tcW w:w="2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Хорошо ощутимы</w:t>
            </w:r>
          </w:p>
        </w:tc>
        <w:tc>
          <w:tcPr>
            <w:tcW w:w="2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Сильно ощутимы (мешают)</w:t>
            </w:r>
          </w:p>
        </w:tc>
        <w:tc>
          <w:tcPr>
            <w:tcW w:w="2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Вредны при длительном воздействии</w:t>
            </w:r>
          </w:p>
        </w:tc>
        <w:tc>
          <w:tcPr>
            <w:tcW w:w="2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Безусловно вредны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1000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>
              <w:rPr>
                <w:i/>
                <w:sz w:val="20"/>
              </w:rPr>
              <w:t xml:space="preserve">. </w:t>
            </w:r>
          </w:p>
          <w:p w:rsidR="00000000" w:rsidRDefault="00B4505A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А = 0,16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vln=</w:t>
            </w:r>
            <w:r>
              <w:rPr>
                <w:sz w:val="20"/>
              </w:rPr>
              <w:t xml:space="preserve"> 0,025</w:t>
            </w:r>
            <w:r>
              <w:rPr>
                <w:sz w:val="20"/>
                <w:lang w:val="en-US"/>
              </w:rPr>
              <w:t xml:space="preserve"> w/n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(3)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где А — амплитуда или размах колебаний, мм;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  <w:lang w:val="en-US"/>
              </w:rPr>
              <w:t>v —</w:t>
            </w:r>
            <w:r>
              <w:rPr>
                <w:sz w:val="20"/>
              </w:rPr>
              <w:t xml:space="preserve"> скорость колебаний, мм/с;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  <w:lang w:val="en-US"/>
              </w:rPr>
              <w:t>w—</w:t>
            </w:r>
            <w:r>
              <w:rPr>
                <w:sz w:val="20"/>
              </w:rPr>
              <w:t xml:space="preserve"> ускорение колебаний, мм/с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;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  <w:lang w:val="en-US"/>
              </w:rPr>
              <w:t>n —</w:t>
            </w:r>
            <w:r>
              <w:rPr>
                <w:sz w:val="20"/>
              </w:rPr>
              <w:t xml:space="preserve"> частота колебаний, Гц.</w:t>
            </w: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Качественные оценки характера воздействия колебаний на людей, приведенные в табл. 6, могут быть использованы для любых сооружений и условий.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4.2. Перед началом измерения вибраций строительных конструкций в целях определения динамического состояния необходимо получить сведения, характеризующие расчетную схему конструкций: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тип конструкции;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размеры пролетов и поперечны</w:t>
      </w:r>
      <w:r>
        <w:rPr>
          <w:sz w:val="20"/>
        </w:rPr>
        <w:t>х сечений;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конструкции узлов соединений элементов;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конструкции элементов, постоянно дополняющих несущие конструкции (бетонная подготовка под полы и пр.);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распределение масс конструкции и присоединенных к ней конструкций;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другие конструктивные характеристики, влияющие на жесткость и массу конструкции;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характеристики прилегающего к строительным конструкциям оборудования с динамическими нагрузками: уровень вибрации на подшипниках, преобладающие направления вибрации, спектр возмущаемых колебаний, состояние пред</w:t>
      </w:r>
      <w:r>
        <w:rPr>
          <w:sz w:val="20"/>
        </w:rPr>
        <w:t>усмотренных проектом деформационных (антивибрационных) швов по периметру действующего оборудования, наличие не предусмотренных проектом жестких связей между каркасами технологического оборудования и строительными конструкциями и т.д.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 Для выбора точек и направления вибрации рекомендуется следующая схема измерений.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4.3.1. Вначале регистрируются колебания при каком-то определенном (по возможности наиболее типичном) динамическом воздействии, которые обеспечивают выявление формы колебаний конструкции и спек</w:t>
      </w:r>
      <w:r>
        <w:rPr>
          <w:sz w:val="20"/>
        </w:rPr>
        <w:t>тра частот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4.3.2. В результате выполнения первого этапа измерений следует выделить точки и направления регистрации вибраций, наиболее характерные для данного динамического процесса.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4.3.3. Установив приборы в этих характерных точках, можно получить зависимости измеряемых параметров (амплитуды, частоты и т.д.) от режимов источников вибрации (при этом синхронно регистрируется уровень вибрации на ее источнике и используется вибродатчик на источнике вибрации в качестве базового).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4.3.4. В качестве ха</w:t>
      </w:r>
      <w:r>
        <w:rPr>
          <w:sz w:val="20"/>
        </w:rPr>
        <w:t>рактерных точек на строительных конструкциях электростанции принимаются: середины пролетов несущих балок, плит перекрытия, ферм покрытия и т.д., узлы соединений этих элементов, середины высот колонн, стоек и зоны сопряжений этих элементов с перекрытием, полом, покрытием.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4.3.5. Приборы устанавливаются непосредственно на несущие поверхности элементов (в железобетонных элементах в зонах регистрации колебаний штукатурный слой отбивается).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4.3.6. В дополнение к измерениям вибрации при фактических режимах работы</w:t>
      </w:r>
      <w:r>
        <w:rPr>
          <w:sz w:val="20"/>
        </w:rPr>
        <w:t xml:space="preserve"> данных конструкций, определяющихся условиями их эксплуатации, рекомендуется регистрировать параметры вибрации строительных конструкций при изменении ступенями режимов источников вибрации (по согласованию со службой эксплуатации).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4.3.7. Вклад в вибрацию строительных конструкций нескольких ее источников определяется путем их поочередного отключения или включения.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4.4. Измерение основного тона свободных затухающих колебаний элементов строительных конструкций следует выполнять в пролетах несущих элементов. Ус</w:t>
      </w:r>
      <w:r>
        <w:rPr>
          <w:sz w:val="20"/>
        </w:rPr>
        <w:t>тановление частот свободных (собственных) колебаний необходимо при наличии резонансных явлений (при совпадении частот собственных колебаний конструкции с вынужденными колебаниями от источников вибрации).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Свободные затухающие колебания возбуждаются ударом через деревянную прокладку толщиной 3-4 см по конструкции в средней части ее пролета. Сила удара должна обеспечить в начальных 2-3 периодах колебаний значения амплитуд перемещений конструкции не меньше максимально допустимых технологий .производства и санит</w:t>
      </w:r>
      <w:r>
        <w:rPr>
          <w:sz w:val="20"/>
        </w:rPr>
        <w:t>арно-гигиеническими ограничениями.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Прилегающее к строительным конструкциям оборудование во время измерений свободных колебаний должно быть по возможности полностью или частично отключено.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Резонансные зоны элементов строительных конструкций можно установить при включении или отключении прилегающего оборудования по характерным всплескам амплитуд на графике амплитудно-частотной характеристики, построенном по результатам измерений вибрации конструкций при наборе (сбросе) номинальной частоты вращения оборудовани</w:t>
      </w:r>
      <w:r>
        <w:rPr>
          <w:sz w:val="20"/>
        </w:rPr>
        <w:t>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4.5. В случае если к колебаниям промышленного здания не предъявляются требования, определяемые санитарными норами или технологией производственных процессов, то помимо требований по органичению колебаний по несущей способности должны предъявляться требования по ограничению динамических прогибов. В табл. 7 даны рекомендации по ограничению динамического прогиба конструкций покрытий промышленных зданий.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sz w:val="20"/>
        </w:rPr>
      </w:pP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Таблица 7</w:t>
      </w: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i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Амплитуды колебаний конструкций покрытия, </w:t>
      </w: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соответствующие предельно допустимому прогибу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98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 xml:space="preserve">тота,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Гц</w:t>
            </w:r>
          </w:p>
        </w:tc>
        <w:tc>
          <w:tcPr>
            <w:tcW w:w="1984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Амплитуда,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985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Частота,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Гц</w:t>
            </w:r>
          </w:p>
        </w:tc>
        <w:tc>
          <w:tcPr>
            <w:tcW w:w="2835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Амплитуда,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1,111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0,625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0,278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  <w:tc>
          <w:tcPr>
            <w:tcW w:w="1985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5" w:type="dxa"/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0,013 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Для промежуточных значений частот колебаний амплитуды определяются по формулам: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А= 10/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— для частот колебаний от 1 до 10 Гц вкл.;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А = 1/</w:t>
            </w:r>
            <w:r>
              <w:rPr>
                <w:i/>
                <w:sz w:val="20"/>
              </w:rPr>
              <w:t>n—</w:t>
            </w:r>
            <w:r>
              <w:rPr>
                <w:sz w:val="20"/>
              </w:rPr>
              <w:t xml:space="preserve"> для частот колебаний св. 10 до 100 Гц вкл.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Здесь А — амплитуда колебаний конструкции от нормальной нагрузки, мм; </w:t>
            </w:r>
          </w:p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 xml:space="preserve"> — частота вынужденных колебаний, Гц.</w:t>
            </w: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оце</w:t>
      </w:r>
      <w:r>
        <w:rPr>
          <w:sz w:val="20"/>
        </w:rPr>
        <w:t>нке прочности и выносливости колебания конструкций можно считать безопасными, если наибольшее динамическое перемещение балки, перекрытия и других конструкций, совершающих колебания, связанные с изгибом, не превышает 1/50000 длины пролета (за вычетом перемещения ее опор). В этом случае при проверке несущей способности конструкции можно не учитывать динамических нагрузок. Аналогично, если по результатам измерений выяснилось, что для колонн и стен здания, а также стоек площадок и этажерок разность горизонтальн</w:t>
      </w:r>
      <w:r>
        <w:rPr>
          <w:sz w:val="20"/>
        </w:rPr>
        <w:t>ых динамических перемещений нижнего и верхнего концов колонны (стены, стойки) в пределах этажа не превышает 1/50000 высоты этажа, динамические нагрузки можно не учитывать при проверке несущей способности этих конструкций. При этом колебания измеряются в той точке конструкции, где их амплитуда наибольшая, и при таком режиме источника вибрации, при котором возбуждаются наиболее интенсивные колебания этой конструкции.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 ИЗМЕРИТЕЛЬНАЯ АППАРАТУРА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5.1. При исследовании работы конструкций фундаментов применяетс</w:t>
      </w:r>
      <w:r>
        <w:rPr>
          <w:sz w:val="20"/>
        </w:rPr>
        <w:t>я измерительная аппаратура, позволяющая измерять амплитуды, фазы и частоты собственных и вынужденных колебаний, а также деформации, по которым определяется напряженное состояние конструкции.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Наиболее распространенной виброизмерительной аппаратурой, которой оснащены современные тепловые электростанции, является балансировочный измерительный прибор (БИП) конструкции Энергоремонта.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Прибор позволяет измерять частоты, амплитуды и фазы колебаний, скорости и ускорения линейных компонентов колебательного процесса и</w:t>
      </w:r>
      <w:r>
        <w:rPr>
          <w:sz w:val="20"/>
        </w:rPr>
        <w:t xml:space="preserve"> наблюдать за фазой колебаний по развернутой записи. Пределы измерения параметров вибрации в диапазоне частот от 15 до 200 Гц следующие: двойная амплитуда виброскоростей от 0,5 до 3000 мм/с и двойная амплитуда виброускорений от 0,1 до 8 </w:t>
      </w:r>
      <w:r>
        <w:rPr>
          <w:i/>
          <w:sz w:val="20"/>
          <w:lang w:val="en-US"/>
        </w:rPr>
        <w:t>q</w:t>
      </w:r>
      <w:r>
        <w:rPr>
          <w:i/>
          <w:sz w:val="20"/>
        </w:rPr>
        <w:t>.</w:t>
      </w:r>
      <w:r>
        <w:rPr>
          <w:sz w:val="20"/>
        </w:rPr>
        <w:t xml:space="preserve"> Погрешность при измерении амплитуды смещений в указанных пределах, отнесенная к верхнему пределу шкалы экрана и стрелочного прибора, не более ±10%, а в пределах от 10 до 400 мкм в диапазоне частот от 20 до 55 Гц не более ±5%.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Погрешность измерения виброскорости и виброуск</w:t>
      </w:r>
      <w:r>
        <w:rPr>
          <w:sz w:val="20"/>
        </w:rPr>
        <w:t>орения составляет ±15%.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Достоинством прибора является возможность определения фазы колебаний точек вибрирующей поверхности, благодаря чему можно установить форму колебаний фундаментов.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Прибор имеет выход для подключения к шлейфовому осциллографу для записи колебательного процесса на пленку или бумагу, что важно при определении частоты собственных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5.2. Другим прибором, который может быть использован службой эксплуатации фундаментов, является портативный виброметр ВПМ-1, имеющий встроенные фильтры </w:t>
      </w:r>
      <w:r>
        <w:rPr>
          <w:sz w:val="20"/>
        </w:rPr>
        <w:t>нижних частот с граничными частотами 25; 50 и 100 Гц и фильтры верхних частот с граничными частотами 50 и 100 Гц. Частотный диапазон измерения параметров вибрации от 10 до 1000 Гц. Диапазон измерения среднего квадратического значения: виброскорости — от 0,5 до 100 мм/с, размаха виброперемещения—от 2 до 1000 мкм. Масса прибора 2 кг.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5.3. Для измерений вибрации строительных конструкций требуется аппаратура, позволяющая регистрировать колебания в более широком частотном диапазоне — от 2 до 1000 Гц.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До настояще</w:t>
      </w:r>
      <w:r>
        <w:rPr>
          <w:sz w:val="20"/>
        </w:rPr>
        <w:t>го времени для измерений вибрации в этих частотных диапазонах широко использовались вибродатчики типа И-001, входящие в измерительный комплект К-001, состоящий из трех датчиков, регулятора с коэффициентами увеличения и интегрирующих гальванометров. Этот комплект рассчитан на работу с осциллографом, позволяющим вести запись на бумаге и визуально наблюдать вибрации. Вибродатчик позволяет измерять вибрации с частотой в пределах от 2 до 200 Гц и амплитудой колебаний до 2 мм.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настоящее время разработаны более </w:t>
      </w:r>
      <w:r>
        <w:rPr>
          <w:sz w:val="20"/>
        </w:rPr>
        <w:t>совершенные приборы, позволяющие более оперативно регистрировать колебания и обрабатывать полученную информацию, например, виброизмерительная аппаратура для автоматизированной системы контроля на базе компьютера типа</w:t>
      </w:r>
      <w:r>
        <w:rPr>
          <w:sz w:val="20"/>
          <w:lang w:val="en-US"/>
        </w:rPr>
        <w:t xml:space="preserve"> IBM PC AT,</w:t>
      </w:r>
      <w:r>
        <w:rPr>
          <w:sz w:val="20"/>
        </w:rPr>
        <w:t xml:space="preserve"> предназначенной как для непрерывного стационарного, так и для периодического оперативного сбора информации, обработки, анализа и оценки уровней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Аппаратура разработана региональным научно-производственным центром вычислительной техники "Старттехно" (г. Екатеринбург).</w:t>
      </w: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Техн</w:t>
      </w:r>
      <w:r>
        <w:rPr>
          <w:b/>
          <w:sz w:val="20"/>
        </w:rPr>
        <w:t>ические характеристики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Частотный диапазон измерений, Гц.................................................. 0,7-200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Размах колебаний, мкм, на частоте: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 Гц.................................................................................................... 20-1000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100Гц................................................................................................. 5-200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Рабочий диапазон температуры в месте установки °С: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датчиков ................................................................................</w:t>
      </w:r>
      <w:r>
        <w:rPr>
          <w:sz w:val="20"/>
        </w:rPr>
        <w:t>........... 0-80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аппаратуры ....................................................................................... 20-40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Переносная система контроля выполнена на базе переносного компьютера и оснащена вибродатчиками с быстросъемным магнитным креплением. Оперативная обработка результатов измерений позволяет получить амплитудно-частотный спектр и характер кривой колебаний в виде графического материала.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5.4. Из импортной аппаратуры наиболее приемлемы виброметры фирм "Карл Шенк АГ" (Германия) и "Брюль и Къер"</w:t>
      </w:r>
      <w:r>
        <w:rPr>
          <w:sz w:val="20"/>
        </w:rPr>
        <w:t xml:space="preserve"> (Дания).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Виброизмерительная техника данных фирм позволяет определять динамическое состояние как фундаментов оборудования, так и прилегающих строительных конструкций.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 ОБРАБОТКА И АНАЛИЗ МАТЕРИАЛОВ ИЗМЕРЕНИЙ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6.1. Методика обработки материалов измерений зависит от характера зарегистрированных процессов и поставленных задач.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Простейшая обработка осциллографических записей вибрации строительных конструкций сводится к определению амплитуд, периода и частоты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6.2. Гармонические (или близкие к гармо</w:t>
      </w:r>
      <w:r>
        <w:rPr>
          <w:sz w:val="20"/>
        </w:rPr>
        <w:t>ническим) колебания конструкций могут возбуждаться, например, машиной с неуравновешенным ротором.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Для повышения точности определения частоты рекомендуется брать для обработки участок осциллограммы, соответствующий нескольким периодам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Запись колебаний конструкций, которые можно считать гармоническими никогда не представляет собой синусоиду из-за искажений вследствие действия случайных факторов. Если эти искажения невелики и кривая незначительно меняет амплитуду, то размах (двойная амплитуда колеба</w:t>
      </w:r>
      <w:r>
        <w:rPr>
          <w:sz w:val="20"/>
        </w:rPr>
        <w:t>ний) можно определить как среднее арифметическое из нескольких измеренных значений.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периодических однокомпонентных колебаниях двойная амплитуда определяется как полный размах колебаний 2А с учетом толщины линий (рис. 5, </w:t>
      </w:r>
      <w:r>
        <w:rPr>
          <w:i/>
          <w:sz w:val="20"/>
        </w:rPr>
        <w:t>а</w:t>
      </w:r>
      <w:r>
        <w:rPr>
          <w:sz w:val="20"/>
        </w:rPr>
        <w:t>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6.3. Сумма двух гармонических колебаний (двухкомпонентные колебания) разной частоты на практике встречается, например, когда динамическая нагрузка вызывается двумя неуравновешенными частями машины (или машин), имеющими разную частоту вращения.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этом случае амплитуда двухкомпонентных</w:t>
      </w:r>
      <w:r>
        <w:rPr>
          <w:sz w:val="20"/>
        </w:rPr>
        <w:t xml:space="preserve"> колебаний определяется раздельно для каждой компоненты, для чего проводятся огибающие колебания (см. рис. 5, </w:t>
      </w:r>
      <w:r>
        <w:rPr>
          <w:i/>
          <w:sz w:val="20"/>
        </w:rPr>
        <w:t>б).</w:t>
      </w:r>
      <w:r>
        <w:rPr>
          <w:sz w:val="20"/>
        </w:rPr>
        <w:t xml:space="preserve"> При этом низкочастотная компонента имеет двойную амплитуду 2А</w:t>
      </w:r>
      <w:r>
        <w:rPr>
          <w:sz w:val="20"/>
          <w:vertAlign w:val="subscript"/>
        </w:rPr>
        <w:t>1</w:t>
      </w:r>
      <w:r>
        <w:rPr>
          <w:sz w:val="20"/>
        </w:rPr>
        <w:t>, а высокочастотная 2А</w:t>
      </w:r>
      <w:r>
        <w:rPr>
          <w:sz w:val="20"/>
          <w:vertAlign w:val="subscript"/>
        </w:rPr>
        <w:t>2</w:t>
      </w:r>
      <w:r>
        <w:rPr>
          <w:sz w:val="20"/>
        </w:rPr>
        <w:t>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6.4. Амплитуду трехкомпонентных колебаний 1-3 (см. рис. 5, </w:t>
      </w:r>
      <w:r>
        <w:rPr>
          <w:i/>
          <w:sz w:val="20"/>
        </w:rPr>
        <w:t>в</w:t>
      </w:r>
      <w:r>
        <w:rPr>
          <w:sz w:val="20"/>
        </w:rPr>
        <w:t>) можно установить методом огибающих: на основную гармонику с амплитудой 2А накладываются две компоненты 4, составляющие биения.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более сложных формах кривых вибраций для определения составляющих применяются гармонический и спектральный анализы.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</w:t>
      </w:r>
      <w:r>
        <w:rPr>
          <w:sz w:val="20"/>
        </w:rPr>
        <w:t xml:space="preserve">5. При непериодических колебаниях определяется средняя амплитуда за выбранный отрезок времени. В этом случае, как показано на pиc. 5, </w:t>
      </w:r>
      <w:r>
        <w:rPr>
          <w:i/>
          <w:sz w:val="20"/>
        </w:rPr>
        <w:t>г,</w:t>
      </w:r>
      <w:r>
        <w:rPr>
          <w:sz w:val="20"/>
        </w:rPr>
        <w:t xml:space="preserve"> все пики соединяются прямыми линиями и определяется (планиметром) площадь полученной замкнутой поверхности, значение которой делится на выбранный отрезок времени </w:t>
      </w:r>
      <w:r>
        <w:rPr>
          <w:i/>
          <w:sz w:val="20"/>
        </w:rPr>
        <w:t>В</w:t>
      </w:r>
      <w:r>
        <w:rPr>
          <w:sz w:val="20"/>
        </w:rPr>
        <w:t xml:space="preserve"> для определения средней амплитуды колебаний за данный отрезок времени.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6.6. Период и частоту колебаний при периодических процессах нужно определять для каждой компоненты отдельно (см. рис. 5, </w:t>
      </w:r>
      <w:r>
        <w:rPr>
          <w:i/>
          <w:sz w:val="20"/>
        </w:rPr>
        <w:t>д).</w:t>
      </w:r>
      <w:r>
        <w:rPr>
          <w:sz w:val="20"/>
        </w:rPr>
        <w:t xml:space="preserve"> Период колебани</w:t>
      </w:r>
      <w:r>
        <w:rPr>
          <w:sz w:val="20"/>
        </w:rPr>
        <w:t>й Т определяется по отметкам времени на осциллограмме. Намечается ряд периодов колебаний, определяется их суммарная продолжительность (</w:t>
      </w:r>
      <w:r>
        <w:rPr>
          <w:sz w:val="20"/>
          <w:lang w:val="en-US"/>
        </w:rPr>
        <w:sym w:font="Symbol" w:char="F053"/>
      </w:r>
      <w:r>
        <w:rPr>
          <w:sz w:val="20"/>
          <w:lang w:val="en-US"/>
        </w:rPr>
        <w:t>t);</w:t>
      </w:r>
      <w:r>
        <w:rPr>
          <w:sz w:val="20"/>
        </w:rPr>
        <w:t xml:space="preserve"> полученное</w:t>
      </w:r>
      <w:r>
        <w:rPr>
          <w:sz w:val="20"/>
          <w:lang w:val="en-US"/>
        </w:rPr>
        <w:t xml:space="preserve"> </w:t>
      </w:r>
      <w:r>
        <w:rPr>
          <w:sz w:val="20"/>
        </w:rPr>
        <w:t>значение делится на число намеченных периодов (у), определяется продолжительность одного колебания, т.е.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142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spacing w:line="240" w:lineRule="auto"/>
        <w:ind w:firstLine="142"/>
        <w:rPr>
          <w:sz w:val="20"/>
        </w:rPr>
      </w:pPr>
      <w:r>
        <w:rPr>
          <w:sz w:val="20"/>
        </w:rPr>
        <w:object w:dxaOrig="14760" w:dyaOrig="8400">
          <v:shape id="_x0000_i1029" type="#_x0000_t75" style="width:678pt;height:386.25pt" o:ole="">
            <v:imagedata r:id="rId11" o:title=""/>
          </v:shape>
          <o:OLEObject Type="Embed" ProgID="MSPhotoEd.3" ShapeID="_x0000_i1029" DrawAspect="Content" ObjectID="_1427216775" r:id="rId12"/>
        </w:objec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Рис. 5. Упрощенный анализ колебательных процессов: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Т</w:t>
      </w:r>
      <w:r>
        <w:rPr>
          <w:sz w:val="20"/>
          <w:vertAlign w:val="subscript"/>
        </w:rPr>
        <w:t>б</w:t>
      </w:r>
      <w:r>
        <w:rPr>
          <w:sz w:val="20"/>
        </w:rPr>
        <w:t xml:space="preserve"> - период биений, с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740" w:dyaOrig="660">
          <v:shape id="_x0000_i1030" type="#_x0000_t75" style="width:36.75pt;height:33pt" o:ole="">
            <v:imagedata r:id="rId13" o:title=""/>
          </v:shape>
          <o:OLEObject Type="Embed" ProgID="Equation.3" ShapeID="_x0000_i1030" DrawAspect="Content" ObjectID="_1427216776" r:id="rId14"/>
        </w:object>
      </w:r>
      <w:r>
        <w:rPr>
          <w:rFonts w:ascii="Times New Roman" w:hAnsi="Times New Roman"/>
          <w:sz w:val="20"/>
        </w:rPr>
        <w:t xml:space="preserve">,               </w:t>
      </w:r>
      <w:r>
        <w:rPr>
          <w:rFonts w:ascii="Times New Roman" w:hAnsi="Times New Roman"/>
          <w:sz w:val="20"/>
          <w:lang w:val="en-US"/>
        </w:rPr>
        <w:t xml:space="preserve">               </w:t>
      </w:r>
      <w:r>
        <w:rPr>
          <w:rFonts w:ascii="Times New Roman" w:hAnsi="Times New Roman"/>
          <w:sz w:val="20"/>
        </w:rPr>
        <w:t xml:space="preserve"> (4)</w:t>
      </w:r>
    </w:p>
    <w:p w:rsidR="00000000" w:rsidRDefault="00B4505A">
      <w:pPr>
        <w:spacing w:line="240" w:lineRule="auto"/>
        <w:ind w:firstLine="284"/>
        <w:rPr>
          <w:sz w:val="20"/>
          <w:lang w:val="en-US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где Т — период колебаний, с (на рис. 5, </w:t>
      </w:r>
      <w:r>
        <w:rPr>
          <w:i/>
          <w:sz w:val="20"/>
          <w:lang w:val="en-US"/>
        </w:rPr>
        <w:t>q</w:t>
      </w:r>
      <w:r>
        <w:rPr>
          <w:i/>
          <w:sz w:val="20"/>
        </w:rPr>
        <w:t xml:space="preserve"> </w:t>
      </w:r>
      <w:r>
        <w:rPr>
          <w:sz w:val="20"/>
        </w:rPr>
        <w:t>Т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и Т</w:t>
      </w:r>
      <w:r>
        <w:rPr>
          <w:sz w:val="20"/>
          <w:vertAlign w:val="subscript"/>
        </w:rPr>
        <w:t>2</w:t>
      </w:r>
      <w:r>
        <w:rPr>
          <w:sz w:val="20"/>
        </w:rPr>
        <w:t>— соответственно периоды колебаний низкочасто</w:t>
      </w:r>
      <w:r>
        <w:rPr>
          <w:sz w:val="20"/>
        </w:rPr>
        <w:t>тной и высокочастотной компоненты);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  <w:lang w:val="en-US"/>
        </w:rPr>
        <w:sym w:font="Symbol" w:char="F053"/>
      </w:r>
      <w:r>
        <w:rPr>
          <w:sz w:val="20"/>
          <w:lang w:val="en-US"/>
        </w:rPr>
        <w:t>t—</w:t>
      </w:r>
      <w:r>
        <w:rPr>
          <w:sz w:val="20"/>
        </w:rPr>
        <w:t xml:space="preserve"> суммарная продолжительность, с;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у — число намеченных периодов.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Соответственно частота колебаний </w:t>
      </w:r>
      <w:r>
        <w:rPr>
          <w:i/>
          <w:sz w:val="20"/>
        </w:rPr>
        <w:t>f</w:t>
      </w:r>
      <w:r>
        <w:rPr>
          <w:sz w:val="20"/>
        </w:rPr>
        <w:t xml:space="preserve"> (Гц) составит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639" w:dyaOrig="620">
          <v:shape id="_x0000_i1031" type="#_x0000_t75" style="width:32.25pt;height:30.75pt" o:ole="">
            <v:imagedata r:id="rId15" o:title=""/>
          </v:shape>
          <o:OLEObject Type="Embed" ProgID="Equation.3" ShapeID="_x0000_i1031" DrawAspect="Content" ObjectID="_1427216777" r:id="rId16"/>
        </w:object>
      </w:r>
      <w:r>
        <w:rPr>
          <w:rFonts w:ascii="Times New Roman" w:hAnsi="Times New Roman"/>
          <w:sz w:val="20"/>
        </w:rPr>
        <w:t xml:space="preserve">.                   </w:t>
      </w:r>
      <w:r>
        <w:rPr>
          <w:rFonts w:ascii="Times New Roman" w:hAnsi="Times New Roman"/>
          <w:sz w:val="20"/>
          <w:lang w:val="en-US"/>
        </w:rPr>
        <w:t xml:space="preserve">            </w:t>
      </w:r>
      <w:r>
        <w:rPr>
          <w:rFonts w:ascii="Times New Roman" w:hAnsi="Times New Roman"/>
          <w:sz w:val="20"/>
        </w:rPr>
        <w:t xml:space="preserve"> (5)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6.7. Период вынужденных колебаний отличается от периода собственных колебаний. По мере приближения частоты вынужденных колебаний к частоте собственных наступают биения, при этом амплитуда колебаний периодически увеличивается или уменьшается.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биении (см. рис. 5, </w:t>
      </w:r>
      <w:r>
        <w:rPr>
          <w:i/>
          <w:sz w:val="20"/>
        </w:rPr>
        <w:t>е</w:t>
      </w:r>
      <w:r>
        <w:rPr>
          <w:sz w:val="20"/>
        </w:rPr>
        <w:t xml:space="preserve">) сумма амплитуд составляющих </w:t>
      </w:r>
      <w:r>
        <w:rPr>
          <w:sz w:val="20"/>
        </w:rPr>
        <w:t>гармоник равна размеру горба кривой биения, а разность амплитуд — размаху суженной части, т.е.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= 2А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+ 2А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                    (6)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i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= 2А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- 2А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                     (7)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где С — сумма амплитуд составляющих гармоник, мм;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2А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— размах низкочастотной составляющей, мм;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2А</w:t>
      </w:r>
      <w:r>
        <w:rPr>
          <w:sz w:val="20"/>
          <w:vertAlign w:val="subscript"/>
        </w:rPr>
        <w:t>2</w:t>
      </w:r>
      <w:r>
        <w:rPr>
          <w:i/>
          <w:sz w:val="20"/>
        </w:rPr>
        <w:t>—</w:t>
      </w:r>
      <w:r>
        <w:rPr>
          <w:sz w:val="20"/>
        </w:rPr>
        <w:t xml:space="preserve"> размах высокочастотной составляющей, мм;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i/>
          <w:sz w:val="20"/>
          <w:lang w:val="en-US"/>
        </w:rPr>
        <w:t>d —</w:t>
      </w:r>
      <w:r>
        <w:rPr>
          <w:sz w:val="20"/>
        </w:rPr>
        <w:t xml:space="preserve"> разность амплитуд составляющих гармоник, мм;</w:t>
      </w:r>
    </w:p>
    <w:p w:rsidR="00000000" w:rsidRDefault="00B4505A">
      <w:pPr>
        <w:pStyle w:val="FR2"/>
        <w:ind w:left="0" w:firstLine="284"/>
        <w:jc w:val="both"/>
        <w:rPr>
          <w:rFonts w:ascii="Times New Roman" w:hAnsi="Times New Roman"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300" w:dyaOrig="620">
          <v:shape id="_x0000_i1032" type="#_x0000_t75" style="width:65.25pt;height:30.75pt" o:ole="">
            <v:imagedata r:id="rId17" o:title=""/>
          </v:shape>
          <o:OLEObject Type="Embed" ProgID="Equation.3" ShapeID="_x0000_i1032" DrawAspect="Content" ObjectID="_1427216778" r:id="rId18"/>
        </w:object>
      </w:r>
      <w:r>
        <w:rPr>
          <w:rFonts w:ascii="Times New Roman" w:hAnsi="Times New Roman"/>
          <w:sz w:val="20"/>
        </w:rPr>
        <w:t>;                 (8)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280" w:dyaOrig="620">
          <v:shape id="_x0000_i1033" type="#_x0000_t75" style="width:63.75pt;height:30.75pt" o:ole="">
            <v:imagedata r:id="rId19" o:title=""/>
          </v:shape>
          <o:OLEObject Type="Embed" ProgID="Equation.3" ShapeID="_x0000_i1033" DrawAspect="Content" ObjectID="_1427216779" r:id="rId20"/>
        </w:object>
      </w:r>
      <w:r>
        <w:rPr>
          <w:rFonts w:ascii="Times New Roman" w:hAnsi="Times New Roman"/>
          <w:sz w:val="20"/>
        </w:rPr>
        <w:t>.                   (9)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Биения обладают следующими свойствами: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огибающие бли</w:t>
      </w:r>
      <w:r>
        <w:rPr>
          <w:sz w:val="20"/>
        </w:rPr>
        <w:t>зки по форме к синусоидам, но противоположны по фазе;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ширина полосы между огибающими изменяется периодически, причем частота изменений равна разности частот компонент;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максимальная ширина полосы равна сумме двойных амплитуд компонент, а минимальная — разности двойных амплитуд.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7. МЕРОПРИЯТИЯ ПО СНИЖЕНИЮ УРОВНЯ КОЛЕБАНИЙ 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ФУНДАМЕНТОВ И СТРОИТЕЛЬНЫХ КОНСТРУКЦИЙ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7.1. Для снижения уровня колебаний фундаментов машин и уменьшения их вредного воздействия осуществляются специальные мероприятия, к которым могут бы</w:t>
      </w:r>
      <w:r>
        <w:rPr>
          <w:sz w:val="20"/>
        </w:rPr>
        <w:t>ть отнесены: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1) устранение источника вибраций путем уравновешивания, балансировки или центровки машин;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2) изменение технологического процесса, замена неуравновешенных машин уравновешенными или их перенос на участок, достаточно удаленный от объектов, чувствительных к вибрациям;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3) традиционные конструктивные способы снижения уровня колебаний фундаментов, включающие повышение жесткости основания, переустройство фундамента, изменение размещения машины на фундаменте и расположения фундамента машины в плане;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4) </w:t>
      </w:r>
      <w:r>
        <w:rPr>
          <w:sz w:val="20"/>
        </w:rPr>
        <w:t>использование различных видов активной и пассивной виброизоляции, а также динамических гасителей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Первые две группы мероприятий относятся к динамике машины, связаны с возможностями технологии конкретного производства и в настоящих Методических указаниях не рассматриваются.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 К традиционным способам снижения уровня колебаний, а также видам активной и пассивной виброизоляции и динамических гасителей колебаний относятся: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7.2.1. Увеличение жесткости основания путем осушения (дренажа) или закреплени</w:t>
      </w:r>
      <w:r>
        <w:rPr>
          <w:sz w:val="20"/>
        </w:rPr>
        <w:t>я грунтов (эффективное средство снижения вибрации фундаментов машин с динамическими нагрузками).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Так, для фундаментов низкочастотных машин, когда частота собственных колебаний фундамента на упроченном грунте становится выше рабочей частоты машины (что характерно, например, доя поршневых насосов, тягодутьевых установок и пр.), наиболее целесообразно повышать жесткость основания.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вертикальных колебаниях закрепление основания целесообразно выполнять под всей подошвой фундамента с превышением ее границ в пл</w:t>
      </w:r>
      <w:r>
        <w:rPr>
          <w:sz w:val="20"/>
        </w:rPr>
        <w:t>ане от 0,5 до 1 м по всем направлениям.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вращательных колебаниях ограничиваются укреплением грунта по периметру подошвы фундамента полосами шириной не менее 2 м. Закрепление грунта производится на глубину не менее 1,5-2 м от подошвы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разрыхления грунта, образования пустот и щелей на контакте фундамента с основанием закрепление грунтов достигается путем инъектирования цемента, жидкого стекла или карбомидной смолы.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Эффективным способом увеличения жесткости основания фундаментов машин яв</w:t>
      </w:r>
      <w:r>
        <w:rPr>
          <w:sz w:val="20"/>
        </w:rPr>
        <w:t>ляется пересадка фундаментов на выносные набивные или забивные сваи и объединение этих свай с телом фундамента путем устройства по его периметру железобетонной обоймы.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Наиболее распространенным способом повышения жесткости основания является увеличение площади подошвы фундамента. Это достигается устройством на уровне подошвы по периметру фундамента железобетонного бандажа (обоймы) либо присоединением к нему с одной или с двух сторон на этом же уровне железобетонных плит (в направлении действия возмущающей с</w:t>
      </w:r>
      <w:r>
        <w:rPr>
          <w:sz w:val="20"/>
        </w:rPr>
        <w:t>илы). Бандажи и плиты должны быть жестко связаны с фундаментом.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7.2.2. Переустройство фундамента, достигаемое конструктивными приемами и включающее в себя увеличение массы фундамента или некоторых его частей, повышение жесткости всего фундамента или его отдельных конструктивных элементов (в результате изменяется общая жесткость фундамента, а также его масса, участвующая в колебаниях, что способствует уменьшению вибраций).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Увеличение массы фундамента существенно влияет на уменьшение амплитуды его колебаний л</w:t>
      </w:r>
      <w:r>
        <w:rPr>
          <w:sz w:val="20"/>
        </w:rPr>
        <w:t>ишь тогда, когда дополнительная масса составляет 50-80% основной. Увеличение только массы фундамента (без изменения площади его подошвы) мало эффективно для низкочастотных машин, так как при этом снижается частота его собственных колебаний, приближаясь к частоте вынужденных колебаний и вызывая опасность резонанса. Увеличение массы фундаментов высокочастотных машин (без изменения площади подошвы) может оказаться целесообразным для снижения уровня вибраций фундаментов вследствие отстройки их частоты колебаний</w:t>
      </w:r>
      <w:r>
        <w:rPr>
          <w:sz w:val="20"/>
        </w:rPr>
        <w:t xml:space="preserve"> от рабочей частоты машин.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Увеличение жесткости конструкции фундамента можно достичь увеличением площади поперечных сечений элементов, устройством дополнительных продольных и поперечных связей, изменением конструктивной схемы путем введения жестких узлов, добавлением диафрагм, поясов жесткости и т.п. Наиболее распространенным способом является устройство жестких обойм в виде бандажей, поясов, рубашек, охватывающих весь фундамент или отдельные части его. При этом достигается увеличение площади сечения фундам</w:t>
      </w:r>
      <w:r>
        <w:rPr>
          <w:sz w:val="20"/>
        </w:rPr>
        <w:t>ента и передача нагрузок на новые части его, а также соединения деформированных участков (при наличии таковых) фундамента в единое целое. Обоймы могут быть как железобетонными, так и металлическими. Последние используются в тех случаях, когда вследствие повышенных вибраций фундамент имеет трещины в направлении, перпендикулярном линии действия динамической силы.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 наличии трещин, появившихся вследствие значительных колебаний, первоначальная жесткость фундамента может быть восстановлена заделкой трещин путе</w:t>
      </w:r>
      <w:r>
        <w:rPr>
          <w:sz w:val="20"/>
        </w:rPr>
        <w:t>м инъектирования цементного раствора или синтетических смол. Это мероприятие может осуществляться самостоятельно или в комплексе работ по переустройству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Варианты усиления реконструируемых узлов и ригелей фундаментов, связанные с наращиванием размеров сечений элементов фундаментов железобетонными плитами, снабженными предварительно напряженными хомутами и затяжками, и другие способы разработаны кафедрой железобетонных конструкций Челябинского политехнического института.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7.2.3. Изменение расположе</w:t>
      </w:r>
      <w:r>
        <w:rPr>
          <w:sz w:val="20"/>
        </w:rPr>
        <w:t>ния фундаментов машин, служащих источником колебаний, для уменьшения вертикальных или горизонтальных колебаний строительных конструкций. Так, при расположении фундаментов машин вблизи фундаментов опор несущих конструкций можно уменьшить их вертикальные колебания, а при расположении их в середине пролетов — горизонтальные. Фундаменты машин, создающие горизонтальные силы инерции, рекомендуется располагать так, чтобы эти силы действовали в том направлении, в котором жесткость здания выше, или чтобы частота соб</w:t>
      </w:r>
      <w:r>
        <w:rPr>
          <w:sz w:val="20"/>
        </w:rPr>
        <w:t>ственных колебаний здания существенно отличалась от рабочей частоты машины. В отдельных случаях в результате рационального размещения машины на фундаменте может уменьшиться общий уровень колебаний строительных конструкций. Так, например, если позволяет технологический процесс, для машин с внецентренным ударом, ударную часть машины следует размещать на фундаменте со стороны, противоположной ограждающим и несущим конструкциям здания.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7.2.4. Виброизоляция, являющаяся одним из эффективных способов снижения уров</w:t>
      </w:r>
      <w:r>
        <w:rPr>
          <w:sz w:val="20"/>
        </w:rPr>
        <w:t>ня вибрации машин, приборов и оборудования. Виброизоляция механической системы заключается в существенном ослаблении связей с основанием или несущими конструкциями.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Виброизоляция называется активной, если она устраивается для уменьшения динамического воздействия системы машина — фундамент — основание, и пассивной, если вибрируемый объект требуется защитить от колебаний поддерживающих его конструкций.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качестве виброизоляторов применяются, как правило, специальные упругие элементы, устраняющие непосредствен</w:t>
      </w:r>
      <w:r>
        <w:rPr>
          <w:sz w:val="20"/>
        </w:rPr>
        <w:t>ный контакт промышленной установки с несущей конструкцией (фундаментом) и другими присоединяемыми к ней внешними связями, в результате чего ослабляется передача вибраций, удара и шума.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Для амортизации используются виброизоляторы, опорные и упорные амортизаторы, амортизирующие вставки (сильфоны, рукава, шланги, гибкие патрубки), гибкие участки кабелей, обеспечивающих питание агрегата, и т.д.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7.2.4.1. При установке высокочастотных легких машин (вентиляторов, станков, электромашин) наиболее часто применяются в</w:t>
      </w:r>
      <w:r>
        <w:rPr>
          <w:sz w:val="20"/>
        </w:rPr>
        <w:t xml:space="preserve"> качестве виброизоляторов резиновые и войлочные прокладки. Такие прокладки сравнительно хорошо задерживают распространение только высокочастотных вибраций. Для ослабления низкочастотных вибраций они оказываются недостаточно податливыми и иногда приводят даже к усилению передачи колебаний основанию. В таких случаях необходимо применять пружинные амортизаторы, жесткость которых может изменяться в широких пределах.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Прокладки к виброизолируемому оборудованию подбираются в зависимости от его массы путем изменени</w:t>
      </w:r>
      <w:r>
        <w:rPr>
          <w:sz w:val="20"/>
        </w:rPr>
        <w:t>я площади и высоты прокладок.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Наиболее существенным недостатком прокладок является чувствительность резины к низким температурам и разрушающему действию бензина и масел, а также различных агрессивных реагентов, находящихся в воздухе. Большинство сортов резины, из которых изготавливаются амортизаторы, почти полностью теряют свои упругие свойства при низких температурах. Войлочные прокладки помимо недостатков, присущих резиновым, спрессовываются при длительном воздействии на них нагрузок и со временем полност</w:t>
      </w:r>
      <w:r>
        <w:rPr>
          <w:sz w:val="20"/>
        </w:rPr>
        <w:t>ью теряют виброизолирующие качества.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7.2.4.2. Пружинные виброизоляторы с защитным покрытием обладают некоторыми преимуществами. Они могут быть использованы только для установки машин с номинально уравновешенными вращающимися частями, обеспечивающими затухание колебаний системы при прохождении ее через резонанс во время пусков и остановов. К числу таких машин относятся тягодутьевые установки и вентиляторы, соединяемые с воздуховодами гибкими патрубками.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Пружинные опоры в качестве пассивной виброизоляции прим</w:t>
      </w:r>
      <w:r>
        <w:rPr>
          <w:sz w:val="20"/>
        </w:rPr>
        <w:t>еняются для установки таких приборов и оборудования, при эксплуатации которых не предусмотрено пребывание обслуживающего персонала.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7.2.4.3. Комбинированные виброизоляторы состоят из стальных и резиновых элементов и применяются при установке наиболее неуравновешенных машин непериодического действия и кузнечных молотов.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Виброизоляторы размещаются группами или рассредоточенно, однако их общий центр тяжести, лежащий на равнодействующей упругих реакций всех виброизоляторов при их одинаковой деформации, должен н</w:t>
      </w:r>
      <w:r>
        <w:rPr>
          <w:sz w:val="20"/>
        </w:rPr>
        <w:t>аходиться на одной вертикали с центром тяжести изолированной части фундамента.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7.2.4.4. При изоляции ударов часто используются демпферы вязкого трения, представляющие собой цилиндрические сосуды с вязкой жидкостью, внутри которой размещаются другие цилиндры. Одни цилиндры крепятся к основанию, а другие — к виброизолируемому объекту. При движении цилиндра внутри вязкой жидкости возникает динамическое давление, которое во избежание образования вакуума не должно превышать атмосферного. Применение такой виброиз</w:t>
      </w:r>
      <w:r>
        <w:rPr>
          <w:sz w:val="20"/>
        </w:rPr>
        <w:t>оляции рекомендуется в первую очередь для фундаментов высокочастотных машин периодического действия, а также машин с импульсными нагрузками.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7.2.5. Динамический гаситель колебаний — устройство, состоящее из сравнительно жесткого элемента (массы), присоединенного с помощью упругой связи (или связи с упругим и демпфирующим элементом) к защищаемой конструкции.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Масса представляет собой, как правило, призматический или цилиндрический стальной или чугунный груз. Упругий элемент гасителя обычно выполняется в виде </w:t>
      </w:r>
      <w:r>
        <w:rPr>
          <w:sz w:val="20"/>
        </w:rPr>
        <w:t>стальной пружины или системы пружин, по конструкции близкой к виброизолятору; можно применять иногда в качестве упругого элемента резиновые и пластмассовые детали, консольные и двухопорные балки, пластинки и т.п. Параметры гасителя (масса, квазиупругий коэффициент и коэффициент демпфирования) определяются расчетом или задаются по конструктивным соображениям.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Гасители применяются для гашения различных видов колебаний: поперечных, продольных, крутильных, возникающих в рабочем или пускоостановочном режиме рабо</w:t>
      </w:r>
      <w:r>
        <w:rPr>
          <w:sz w:val="20"/>
        </w:rPr>
        <w:t>ты машины, а также вызванных действием ветра. В строительстве наиболее распространены динамические и ударные гасители, демпферы (гасители повышенного сопротивления) и ограничители колебаний.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7.2.5.1. Динамические и ударные гасители особенно целесообразно применять для высоких и протяженных в плане гибких конструкций, выполненных из металла. В частности, такие гасители эффективны при установке их на сооружениях башенного типа, гибких покрытиях (в виде мембран, пластинок, оболочек), металлических конструкциях</w:t>
      </w:r>
      <w:r>
        <w:rPr>
          <w:sz w:val="20"/>
        </w:rPr>
        <w:t xml:space="preserve"> (зданиях с металлическим каркасом, металлических фундаментах оборудования) и виброизолированных машинах в рабочем и пускоостановочных режимах.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7.2.5.2. Работа демпферов (гасителей повышенного сопротивления) основана на том, что энергия колебаний системы рассеивается в результате сухого трения прижатых одна к другой поверхностей или вязкого трения, возникающего при прохождении жидкости или воздуха по узким щелям и каналам, а также при взаимодействии магнитного поля с полем вихревых токов, возбуждающихся дви</w:t>
      </w:r>
      <w:r>
        <w:rPr>
          <w:sz w:val="20"/>
        </w:rPr>
        <w:t>жением системы.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7.2.5.3. Работа ограничителей колебания основана на изменении упругих и упруго-вязких свойств системы, в результате чего уменьшаются амплитуды колебаний и изменяется частота собственных колебаний системы. Энергия частично рассеивается при ударе, но большая ее часть передается через ограничитель. Масса, упругий коэффициент и коэффициент демпфирования определяются по расчету или задаются по конструктивным соображениям. Опыт применения гасителей колебаний показал, что они наиболее эффективны пр</w:t>
      </w:r>
      <w:r>
        <w:rPr>
          <w:sz w:val="20"/>
        </w:rPr>
        <w:t>и гашении колебаний, которые носят резонансный характер и возникают в конструкциях, обладающих малым демпфированием.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7.3. В тех случаях, когда уровень вибрации не удается уменьшить по технологическим или другим причинам на источнике возмущения и колебания передаются прилегающим строительным конструкциям, вызывая на них повышенные вибрации, необходимо проведение мероприятий по снижению уровня колебаний самих строительных конструкций.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Снижение уровня колебаний строительных конструкций можно осуществить следую</w:t>
      </w:r>
      <w:r>
        <w:rPr>
          <w:sz w:val="20"/>
        </w:rPr>
        <w:t>щими способами: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отстройкой конструкции от резонанса (при гармонических колебаниях) посредством изменения ее жесткости, массы или конструктивной схемы (введением жестких узлов, превращением разрезных конструкций в неразрезные, изменением размеров пролетов и т.д.);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изменением условий опирания изгибаемой конструкции с установкой отжимно-прижимных приспособлений в ее опорных узлах для регулирования значений сил трения на контакте конструкции с опорами, а также повышением рассеивания энергии колебаний изгибаемой</w:t>
      </w:r>
      <w:r>
        <w:rPr>
          <w:sz w:val="20"/>
        </w:rPr>
        <w:t xml:space="preserve"> конструкции введением демпферных устройств.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7.3.1. Основные принципы изменения конструктивной схемы, массы и жесткости элементов строительных конструкций аналогичны рассмотренным в п. 7.2.2.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7.3.2. Отжимно-прижимные приспособления могут быть различной конструкции (рис. 6). Они устанавливаются в опорных узлах изгибаемой конструкции вне площади непосредственного опирания изгибаемого элемента на опору с направлением отжима (прижима) опорной части изгибаемого элемента перпендикулярно к этой площади.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Отжимные п</w:t>
      </w:r>
      <w:r>
        <w:rPr>
          <w:sz w:val="20"/>
        </w:rPr>
        <w:t>риспособления применяются в тех случаях, когда частота вынужденных колебаний близка к верхней границе первой частотной зоны конструкции. Давление конструкции на контакте с опорой уменьшается отжимным приспособлением до состояния, близкого к отрыву, на контакте конструкции с опорой (не допуская отрыва) при наибольших динамических эксплуатационных воздействиях.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Прижимные приспособления применяются в тех случаях, когда частота вынужденных колебаний близка к нижней границе первой частотной зоны конструкции. Сжа</w:t>
      </w:r>
      <w:r>
        <w:rPr>
          <w:sz w:val="20"/>
        </w:rPr>
        <w:t>тие пружины производится до полного устранения смещений с проскальзыванием конструкции на опорах и упругого ее защемления в опорных узлах, что должно повысить основную собственную частоту колебаний и уменьшить уровень вибрации конструкции.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Демпферное устройство целесообразно использовать при резонансных колебаниях изгибных конструкций. Оно помещается в распор между конструкцией и специально присоединенными дополнительными балочными элементами так, чтобы при изгибных колебаниях конструкции обеспечивалась раб</w:t>
      </w:r>
      <w:r>
        <w:rPr>
          <w:sz w:val="20"/>
        </w:rPr>
        <w:t>ота демпферов.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В качестве дополнительного элемента служат консоли, консоли с рычагом, подкосы, балки и т.д.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На рис. 7 и 8 приведены схемы изгибаемых конструкций с введенными различными демпферными устройствами.</w:t>
      </w:r>
    </w:p>
    <w:p w:rsidR="00000000" w:rsidRDefault="00B4505A">
      <w:pPr>
        <w:spacing w:line="240" w:lineRule="auto"/>
        <w:ind w:firstLine="0"/>
        <w:jc w:val="center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10238" w:dyaOrig="5363">
          <v:shape id="_x0000_i1034" type="#_x0000_t75" style="width:573pt;height:300.75pt" o:ole="">
            <v:imagedata r:id="rId21" o:title=""/>
          </v:shape>
          <o:OLEObject Type="Embed" ProgID="MSPhotoEd.3" ShapeID="_x0000_i1034" DrawAspect="Content" ObjectID="_1427216780" r:id="rId22"/>
        </w:object>
      </w:r>
    </w:p>
    <w:p w:rsidR="00000000" w:rsidRDefault="00B4505A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12750" w:dyaOrig="9255">
          <v:shape id="_x0000_i1035" type="#_x0000_t75" style="width:577.5pt;height:419.25pt" o:ole="">
            <v:imagedata r:id="rId23" o:title=""/>
          </v:shape>
          <o:OLEObject Type="Embed" ProgID="MSPhotoEd.3" ShapeID="_x0000_i1035" DrawAspect="Content" ObjectID="_1427216781" r:id="rId24"/>
        </w:object>
      </w: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Рис. 6. Отжимно-прижимные приспособления: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опорный узел изгибаемой конструкции с отжимным приспособлением; б - опорный узел с отжимно-прижимным приспособлением под изгибаемой конструкцией;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опорный узел изгибаемой конструкции с прижимным присп</w:t>
      </w:r>
      <w:r>
        <w:rPr>
          <w:rFonts w:ascii="Times New Roman" w:hAnsi="Times New Roman"/>
          <w:sz w:val="20"/>
        </w:rPr>
        <w:t>особлением; г - опорный узел отжимно-прижимным приспособлением над изгибаемой конструкцией;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изгибаемая конструкция; 2 - опора; 3 - упругий элемент (пружина); 4 - регулировочный болт; 5 - упорная шайба</w: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object w:dxaOrig="16635" w:dyaOrig="6870">
          <v:shape id="_x0000_i1036" type="#_x0000_t75" style="width:608.25pt;height:251.25pt" o:ole="">
            <v:imagedata r:id="rId25" o:title=""/>
          </v:shape>
          <o:OLEObject Type="Embed" ProgID="MSPhotoEd.3" ShapeID="_x0000_i1036" DrawAspect="Content" ObjectID="_1427216782" r:id="rId26"/>
        </w:objec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pict>
          <v:shape id="_x0000_i1037" type="#_x0000_t75" style="width:545.25pt;height:243.75pt">
            <v:imagedata r:id="rId27" o:title=""/>
          </v:shape>
        </w:pic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pict>
          <v:shape id="_x0000_i1038" type="#_x0000_t75" style="width:513.75pt;height:211.5pt">
            <v:imagedata r:id="rId28" o:title=""/>
          </v:shape>
        </w:pic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object w:dxaOrig="16410" w:dyaOrig="6795">
          <v:shape id="_x0000_i1039" type="#_x0000_t75" style="width:552.75pt;height:228.75pt" o:ole="">
            <v:imagedata r:id="rId29" o:title=""/>
          </v:shape>
          <o:OLEObject Type="Embed" ProgID="MSPhotoEd.3" ShapeID="_x0000_i1039" DrawAspect="Content" ObjectID="_1427216783" r:id="rId30"/>
        </w:objec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pict>
          <v:shape id="_x0000_i1040" type="#_x0000_t75" style="width:543pt;height:215.25pt">
            <v:imagedata r:id="rId31" o:title=""/>
          </v:shape>
        </w:pic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pict>
          <v:shape id="_x0000_i1041" type="#_x0000_t75" style="width:546.75pt;height:231.75pt">
            <v:imagedata r:id="rId32" o:title=""/>
          </v:shape>
        </w:pict>
      </w: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Рис. 7. Введение демпферных устройств: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а - с консольным дополнительным элементом и демпфером; б - с консольным дополнительным элементом и демпфером с рычагом;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в - с подкосами, прикрепляемыми к опорным частям конструкции; г - с подкосами, прикрепляе</w:t>
      </w:r>
      <w:r>
        <w:rPr>
          <w:sz w:val="20"/>
        </w:rPr>
        <w:t xml:space="preserve">мыми к опорам; 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д - с дополнительным элементом, прикрепленным к опорным частям конструкции; е - с дополнительным элементом, прикрепленным к опоре;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1 - изгибаемая конструкция; 2 - консольный дополнительный элемент; 3 - демпфер; 4 - подкосы; 5 - рычаг; 6 - опора;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7 - дополнительный элемент;</w:t>
      </w:r>
      <w:r>
        <w:rPr>
          <w:sz w:val="20"/>
          <w:lang w:val="en-US"/>
        </w:rPr>
        <w:t xml:space="preserve"> I -</w:t>
      </w:r>
      <w:r>
        <w:rPr>
          <w:sz w:val="20"/>
        </w:rPr>
        <w:t xml:space="preserve"> пролет между опорами</w:t>
      </w:r>
    </w:p>
    <w:p w:rsidR="00000000" w:rsidRDefault="00B4505A">
      <w:pPr>
        <w:spacing w:line="240" w:lineRule="auto"/>
        <w:ind w:firstLine="142"/>
        <w:jc w:val="center"/>
        <w:rPr>
          <w:sz w:val="20"/>
        </w:rPr>
      </w:pPr>
      <w:r>
        <w:rPr>
          <w:sz w:val="20"/>
        </w:rPr>
        <w:pict>
          <v:shape id="_x0000_i1042" type="#_x0000_t75" style="width:462pt;height:224.25pt">
            <v:imagedata r:id="rId33" o:title=""/>
          </v:shape>
        </w:pic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8. Демпфер сухого трения: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изгибаемая конструкция; 2 - стержень переменного сечения; 3 - штифт;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упругий элемент (пружина); 5 - гайка; 6 - дополнительный элемент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</w:t>
      </w:r>
    </w:p>
    <w:p w:rsidR="00000000" w:rsidRDefault="00B4505A">
      <w:pPr>
        <w:pStyle w:val="FR2"/>
        <w:ind w:left="0" w:firstLine="284"/>
        <w:jc w:val="right"/>
        <w:rPr>
          <w:rFonts w:ascii="Times New Roman" w:hAnsi="Times New Roman"/>
          <w:b/>
          <w:sz w:val="20"/>
        </w:rPr>
      </w:pPr>
    </w:p>
    <w:p w:rsidR="00000000" w:rsidRDefault="00B4505A">
      <w:pPr>
        <w:pStyle w:val="FR2"/>
        <w:ind w:lef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ТЕРМИНЫ</w:t>
      </w:r>
      <w:r>
        <w:rPr>
          <w:rFonts w:ascii="Times New Roman" w:hAnsi="Times New Roman"/>
          <w:b/>
          <w:sz w:val="20"/>
        </w:rPr>
        <w:t xml:space="preserve"> И ОПРЕДЕЛЕНИЯ</w:t>
      </w:r>
    </w:p>
    <w:p w:rsidR="00000000" w:rsidRDefault="00B4505A">
      <w:pPr>
        <w:pStyle w:val="FR2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Вибрация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Движение точки или механической системы, при котором происходят колебания характеризующих его скалярных величин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Вибрационная техника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Совокупность методов и средств возбуждения, полезного применения и измерения вибрации, вибрационной диаг-ностики, вибрационной защиты и вибрационных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Вибровозбудитель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Устройство, предназначенное для возбуждения вибрации и используемое самостоятельно или в составе другого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Виброметрия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Совокупность </w:t>
            </w:r>
            <w:r>
              <w:rPr>
                <w:sz w:val="20"/>
              </w:rPr>
              <w:t>средств и методов измерения величин, характеризующих вибрацию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 Вибрационная защита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Совокупность средств и методов уменьшения вибрации, воспринимаемой защищаемыми объектами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 Вибрационная устойчивость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Свойство объекта при заданной вибрации выполнять заданные функции и сохранять в пределах норм значения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7. Вибрационная прочность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Прочность при и после заданной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8. Вибрационные испытания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Испытания объекта при заданной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 Вибрационная диагностика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Техническая диагностика, основ</w:t>
            </w:r>
            <w:r>
              <w:rPr>
                <w:sz w:val="20"/>
              </w:rPr>
              <w:t>анная на анализе вибрации объекта диагностирования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 Виброперемещение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Составляющая перемещения, описывающая вибрацию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 Виброскорость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Производная виброперемещения по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 Виброускорение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Производная виброскорости по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 Рамах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Разность между наибольшим и наименьшим значениями колеблющейся величины в рассматриваемом интервале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 Среднее квадратическое значение колеблющейся величины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Квадратный корень из среднего арифметического или среднего интегрального значения квадра</w:t>
            </w:r>
            <w:r>
              <w:rPr>
                <w:sz w:val="20"/>
              </w:rPr>
              <w:t>та колеблющейся величины в рассматриваемом интервале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 Периодические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Колебания, при которых каждое значение колеблющейся величины повторяется через равные интервалы времени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16. Период колебании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Наименьший интервал времени, через который при" периодических колебаниях повторяется каждое значение колеблющейся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 Частота периодических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Величина, обратная периоду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 Синхронные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Два или более одновременно совершающихся периодических колебания, имеющи</w:t>
            </w:r>
            <w:r>
              <w:rPr>
                <w:sz w:val="20"/>
              </w:rPr>
              <w:t>х равные частоты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 Гармонические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Колебания, при которых значения колеблющейся величины изменяются во времени по закону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sin(wt+y),                  (10)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где</w:t>
            </w:r>
            <w:r>
              <w:rPr>
                <w:sz w:val="20"/>
                <w:lang w:val="en-US"/>
              </w:rPr>
              <w:t xml:space="preserve">    t</w:t>
            </w:r>
            <w:r>
              <w:rPr>
                <w:sz w:val="20"/>
              </w:rPr>
              <w:t xml:space="preserve"> —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время;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A, </w:t>
            </w:r>
            <w:r>
              <w:rPr>
                <w:i/>
                <w:sz w:val="20"/>
                <w:lang w:val="en-US"/>
              </w:rPr>
              <w:t>w,</w:t>
            </w:r>
            <w:r>
              <w:rPr>
                <w:i/>
                <w:sz w:val="20"/>
              </w:rPr>
              <w:t xml:space="preserve"> у —</w:t>
            </w:r>
            <w:r>
              <w:rPr>
                <w:sz w:val="20"/>
              </w:rPr>
              <w:t xml:space="preserve"> постоянные параметры;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</w:rPr>
              <w:t>А —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амплитуда;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wt+y</w:t>
            </w:r>
            <w:r>
              <w:rPr>
                <w:sz w:val="20"/>
              </w:rPr>
              <w:t xml:space="preserve"> —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фаза;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</w:t>
            </w:r>
            <w:r>
              <w:rPr>
                <w:sz w:val="20"/>
              </w:rPr>
              <w:t xml:space="preserve">у — начальная фаза; </w:t>
            </w:r>
          </w:p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</w:rPr>
              <w:t>w —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угловая частота.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20. Амплитуда гармонических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Максимальное значение величины при гармонических колебаниях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21. Сдвиг фаз синхронных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Разность фаз двух синхронных гармонических колебан</w:t>
            </w:r>
            <w:r>
              <w:rPr>
                <w:sz w:val="20"/>
              </w:rPr>
              <w:t>ий в любой момент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22. Угловая частота гармонических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Производная по времени от фазы гармонических колебаний, равная частоте, умноженной на 2</w:t>
            </w:r>
            <w:r>
              <w:rPr>
                <w:i/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23. Синфазные гармонические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Синхронные гармонические колебания с равными в любой момент времени фазами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24. Биения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Колебания, размах которых — периодически колеблющаяся величина и которые являются результатом сложения двух гармонических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25. Частота биении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Частота колебаний значений размаха при биениях, равная разности частот сум</w:t>
            </w:r>
            <w:r>
              <w:rPr>
                <w:sz w:val="20"/>
              </w:rPr>
              <w:t>мируемых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26. Гармонический анализ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Представление анализируемых колебаний в виде суммы гармонических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27. Гармоника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Гармоническая составляющая периодических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28. Спектр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Совокупность соответствующих гармоническим составляющим значений величины, характеризующей колебания, в которой указанные значения располагаются в порядке возрастания частот гармонических составляющих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29. Спектр частот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Совокупность частот гармонических составляющих колебаний, расположенных в </w:t>
            </w:r>
            <w:r>
              <w:rPr>
                <w:sz w:val="20"/>
              </w:rPr>
              <w:t>порядке возрастания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30. Амплитудный спектр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Спектр колебаний, в котором величинами, характеризующими гармонические составляющие колебаний, являются их амплитуды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31. Затухающие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 с уменьшающимися значениями размаха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32. Нарастающие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 с увеличивающимися значениями размаха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33. Логарифмический уровень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 колебаний, сравнивающая две одноименные физические величины, пропорциональная десятичному логарифму отношения оцениваемого и исходного значений величи</w:t>
            </w:r>
            <w:r>
              <w:rPr>
                <w:sz w:val="20"/>
              </w:rP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34. Полоса частот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Совокупность частот в рассматриваемых пределах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35. Декадная полоса частот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Полоса частот, у которой отношение верхней граничной частоты к нижней равно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36. Октавная полоса частот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Полоса частот, у которой отношение верхней граничной частоты к нижней равно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37. Полуоктавная полоса частот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Полоса частот, у которой отношение верхней граничной частоты к нижней равно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38. Среднегеометрическая частота полосы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Квадратный корень из произведения граничных частот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39. Бегущая волна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z w:val="20"/>
              </w:rPr>
              <w:t>спространение возмущения в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Продольная волна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Волна, направление распространения которой коллинеарно траекториям колеблющихся точек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41. Поперечная волна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Волна, направление распространения которой ортогонально траекториям колеблющихся точек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42. Стоячая волна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Состояние среды, при котором расположение максимумов и минимумов перемещений колеблющихся точек среды не меняется во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43. Узел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Неподвижная точка среды при стоячей волне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44. Пучность колебаний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Точка среды при стоя</w:t>
            </w:r>
            <w:r>
              <w:rPr>
                <w:sz w:val="20"/>
              </w:rPr>
              <w:t>чей волне, в которой размах перемещений имеет максимум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45. Форма колебаний системы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Конфигурация совокупности характерных точек системы, совершающей периодические колебания, в момент времени, когда не все отклонения этих точек от их средних положений равны нулю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46. Случайные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Колебания, представляющие собой случайный процесс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47. Вынуждающая сила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Переменная во времени внешняя сила, не зависящая от состояния системы и поддерживающая ее вибрацию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48. Демпфирование вибрации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Уменьшение вибрации вследс</w:t>
            </w:r>
            <w:r>
              <w:rPr>
                <w:sz w:val="20"/>
              </w:rPr>
              <w:t>твие рассеяния механической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49. Восстанавливающая сила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Сила, возникающая при отклонении системы от 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стояния равновесия и направленная противоположно этому отклонению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50. Коэффициент жесткости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Взятая с противоположным знаком производная характеристика восстанавливающей силы или момента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51. Коэффициент податливости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Величина, обратная коэффициенту жесткости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52. Свободные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 системы, происходящие без переменного внешнего воздействия и поступления энергии извне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53. Вынужденные к</w:t>
            </w:r>
            <w:r>
              <w:rPr>
                <w:sz w:val="20"/>
              </w:rPr>
              <w:t>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 системы, вызванные и поддерживаемые силовым и кинематическим возбуждением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54. Автоколебания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Колебания системы, возникающие в результате самовозбуждения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55. Собственная частота колебаний линейной системы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Любая из частот свободных колебаний линейной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56. Собственная форма колебаний системы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Форма колебании линейной системы, колеблющейся с одной из собственных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57. Резонансные колебания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Вынужденные колебания системы, соответствующие одному из максимумов амплитудно-частотной х</w:t>
            </w:r>
            <w:r>
              <w:rPr>
                <w:sz w:val="20"/>
              </w:rPr>
              <w:t>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58. Амплитудно-частотная характеристика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Зависимость амплитуды вынужденных колебаний от частоты гармонического возбуждения с постоянной амплитудой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59. Активная виброзащита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Вибрационная защита, использующая энергию дополнительного источника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60. Пассивная виброзащита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Вибрационная защита, не использующая энергию дополнительного источника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61. Виброизоляция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Метод вибрационной защиты посредством устройств, помещаемых между источником возбуждения и защищаемым объектом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62. Динамическое гашение виб</w:t>
            </w:r>
            <w:r>
              <w:rPr>
                <w:sz w:val="20"/>
              </w:rPr>
              <w:t>рации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Метод вибрационной защиты посредством присоединения к защищаемому объекту системы, реакции которой уменьшают размах вибрации объекта в точках присоединения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63. Виброизолятор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Устройство, осуществляющее виброизоляцию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64.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Демпфер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Виброзащитное устройство или его часть, создающая демпфирование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65. Динамический виброгаситель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Устройство, осуществляющее динамическое гашение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05A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b/>
                <w:i/>
                <w:sz w:val="20"/>
              </w:rPr>
              <w:t>Примечание.</w:t>
            </w:r>
            <w:r>
              <w:rPr>
                <w:sz w:val="20"/>
              </w:rPr>
              <w:t xml:space="preserve"> Термины и определения установлены [1].</w:t>
            </w:r>
          </w:p>
        </w:tc>
      </w:tr>
    </w:tbl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Список использованной литературы</w:t>
      </w:r>
    </w:p>
    <w:p w:rsidR="00000000" w:rsidRDefault="00B4505A">
      <w:pPr>
        <w:spacing w:line="240" w:lineRule="auto"/>
        <w:ind w:firstLine="284"/>
        <w:jc w:val="center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1. ГОСТ 24346-80. В</w:t>
      </w:r>
      <w:r>
        <w:rPr>
          <w:sz w:val="20"/>
        </w:rPr>
        <w:t>ибрация. Термины и определения.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2. ГОСТ 25364-82. Агрегаты паротурбинные стационарные. Нормы вибрации и общие требования к проведению измерений.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3. ГОСТ 12.4.012-83. ССБТ. Вибрация. Средства измерения и контроля вибрации на рабочих местах. Технические требования.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4. ГОСТ 26043-83. Вибрация. Динамические характеристики стационарных машин. Основные положения.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5. ГОСТ 12.1.012-90. ССБТ. Вибрационная безопасность. Общие требования.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 СН 245-71. Санитарные нормы проектирования промышленных предприятий.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7. СНиП </w:t>
      </w:r>
      <w:r>
        <w:rPr>
          <w:sz w:val="20"/>
        </w:rPr>
        <w:t>2.02.05-87. Фундаменты машин с динамическими нагрузками.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8. Динамический расчет специальных инженерных сооружений и конструкций / Под ред. проф. Б.Г. Коренева и проф. А.Ф. Смирнова.— М.: Стройиздат, 1986.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9. Измерение вибрации сооружений / Под ред. д-ра техн. наук И.С. Шейнина.— Л.: Стройиздат, 1974.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10. Инструкция по мерам борьбы с вибрационными воздействиями технологического оборудования при проектировании зданий и сооружений промышленности нерудных строительных материалов.— М.: Издательство литературы по</w:t>
      </w:r>
      <w:r>
        <w:rPr>
          <w:sz w:val="20"/>
        </w:rPr>
        <w:t xml:space="preserve"> строительству, 1968.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11 Инструкция по расчету несущих конструкций промышленных зданий и сооружений на динамические нагрузки.— М.: Издательство литературы по строительству, 1970.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12. Правила технической эксплуатации электрических станций и сетей Российской Федерации:</w:t>
      </w:r>
      <w:r>
        <w:rPr>
          <w:sz w:val="20"/>
          <w:lang w:val="en-US"/>
        </w:rPr>
        <w:t xml:space="preserve"> </w:t>
      </w:r>
      <w:r>
        <w:rPr>
          <w:sz w:val="20"/>
        </w:rPr>
        <w:t>РД 34.20.501-95.— М. СПО ОРГРЭС, 1996.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13. Рекомендации по усилению железобетонных конструкций зданий и сооружений реконструируемых предприятий. Ч. 4. Виброзащита существующих конструкций.— Харьков: Харьковский Промстройниипроект, 1985.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14. Спр</w:t>
      </w:r>
      <w:r>
        <w:rPr>
          <w:sz w:val="20"/>
        </w:rPr>
        <w:t>авочник по динамике сооружений / Под ред. проф. Б.Г. Коренева и проф. И.М. Рабиновича.— М.: Стройиздат, 1972.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15.</w:t>
      </w:r>
      <w:r>
        <w:rPr>
          <w:sz w:val="20"/>
          <w:lang w:val="en-US"/>
        </w:rPr>
        <w:t xml:space="preserve"> </w:t>
      </w:r>
      <w:r>
        <w:rPr>
          <w:sz w:val="20"/>
        </w:rPr>
        <w:t>А.И.</w:t>
      </w:r>
      <w:r>
        <w:rPr>
          <w:sz w:val="20"/>
          <w:lang w:val="en-US"/>
        </w:rPr>
        <w:t xml:space="preserve"> </w:t>
      </w:r>
      <w:r>
        <w:rPr>
          <w:sz w:val="20"/>
        </w:rPr>
        <w:t>Абашидзе, Ф.В. Сапожников, А.Т. Казанджян. Фундаменты машин тепловых электростанций.— М.: Энергия,</w:t>
      </w:r>
      <w:r>
        <w:rPr>
          <w:sz w:val="20"/>
          <w:lang w:val="en-US"/>
        </w:rPr>
        <w:t xml:space="preserve"> </w:t>
      </w:r>
      <w:r>
        <w:rPr>
          <w:sz w:val="20"/>
        </w:rPr>
        <w:t>1975.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16.</w:t>
      </w:r>
      <w:r>
        <w:rPr>
          <w:sz w:val="20"/>
          <w:lang w:val="en-US"/>
        </w:rPr>
        <w:t xml:space="preserve"> </w:t>
      </w:r>
      <w:r>
        <w:rPr>
          <w:sz w:val="20"/>
        </w:rPr>
        <w:t>А.С. Гольдин. Устранение вибраций турбоагрегатов на тепловых электростанциях.— М.: Энергия, 1980.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17. Б.Т. Рунов. Исследование и устранение вибраций паровых турбоагрегатов.— М.: Энергоиздат, 1982.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18. В.П. Осоловский, Д.Г. Венгеровский, Я.Л. Кранцфельд. Эксплуатация фундаментов энерг</w:t>
      </w:r>
      <w:r>
        <w:rPr>
          <w:sz w:val="20"/>
        </w:rPr>
        <w:t>етического оборудования ТЭС.— М.: Энергия, 1980.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19. Н.С. Швец, В.Л. Седин, Ю.А. Киричек. Конструктивные способы снижения вибраций фундаментов машин с динамическими нагрузками.—М.: Стройиздат, 1987.</w:t>
      </w: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rPr>
          <w:b/>
          <w:sz w:val="20"/>
        </w:rPr>
      </w:pPr>
    </w:p>
    <w:p w:rsidR="00000000" w:rsidRDefault="00B4505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ОГЛАВЛЕНИЕ</w:t>
      </w:r>
    </w:p>
    <w:p w:rsidR="00000000" w:rsidRDefault="00B4505A">
      <w:pPr>
        <w:spacing w:line="240" w:lineRule="auto"/>
        <w:ind w:firstLine="284"/>
        <w:rPr>
          <w:sz w:val="20"/>
        </w:rPr>
      </w:pP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2. Причины повышенной вибрации строительных конструкций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Особенности обследования динамического состояния фундаментов оборудования 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 Особенности обследования динамического состояния строительных конструкций 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5. Измерительная аппаратура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6. Обработка и анализ материалов измерен</w:t>
      </w:r>
      <w:r>
        <w:rPr>
          <w:sz w:val="20"/>
        </w:rPr>
        <w:t>ий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7. Мероприятия по снижению уровня колебаний фундаментов и строительных конструкций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Приложение.</w:t>
      </w:r>
      <w:r>
        <w:rPr>
          <w:sz w:val="20"/>
        </w:rPr>
        <w:t xml:space="preserve"> Термины и определения</w:t>
      </w:r>
    </w:p>
    <w:p w:rsidR="00000000" w:rsidRDefault="00B4505A">
      <w:pPr>
        <w:spacing w:line="240" w:lineRule="auto"/>
        <w:ind w:firstLine="284"/>
        <w:rPr>
          <w:sz w:val="20"/>
        </w:rPr>
      </w:pPr>
      <w:r>
        <w:rPr>
          <w:sz w:val="20"/>
        </w:rPr>
        <w:t>Список использованной литературы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05A"/>
    <w:rsid w:val="00B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42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840" w:hanging="840"/>
      <w:jc w:val="both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40"/>
      <w:jc w:val="center"/>
      <w:textAlignment w:val="baseline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7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9995</Words>
  <Characters>56974</Characters>
  <Application>Microsoft Office Word</Application>
  <DocSecurity>0</DocSecurity>
  <Lines>474</Lines>
  <Paragraphs>133</Paragraphs>
  <ScaleCrop>false</ScaleCrop>
  <Company>Elcom Ltd</Company>
  <LinksUpToDate>false</LinksUpToDate>
  <CharactersWithSpaces>66836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34</dc:title>
  <dc:subject/>
  <dc:creator>ЦНТИ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