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3781">
      <w:pPr>
        <w:pStyle w:val="a3"/>
        <w:ind w:firstLine="284"/>
        <w:rPr>
          <w:sz w:val="20"/>
        </w:rPr>
      </w:pPr>
      <w:bookmarkStart w:id="0" w:name="_GoBack"/>
      <w:bookmarkEnd w:id="0"/>
      <w:r>
        <w:rPr>
          <w:sz w:val="20"/>
        </w:rPr>
        <w:t>ОРДЕНА ТРУДОВОГО КРАСНОГО ЗНАМЕНИ</w:t>
      </w:r>
    </w:p>
    <w:p w:rsidR="00000000" w:rsidRDefault="00A93781">
      <w:pPr>
        <w:pStyle w:val="a4"/>
        <w:spacing w:after="0"/>
        <w:ind w:firstLine="284"/>
        <w:rPr>
          <w:sz w:val="20"/>
        </w:rPr>
      </w:pPr>
      <w:r>
        <w:rPr>
          <w:sz w:val="20"/>
        </w:rPr>
        <w:t>АРЕНДНОЕ ПРЕДПРИЯТИЕ ПРОМСТРОЙПРОЕКТ</w:t>
      </w:r>
    </w:p>
    <w:p w:rsidR="00000000" w:rsidRDefault="00A93781">
      <w:pPr>
        <w:pStyle w:val="a4"/>
        <w:spacing w:after="0"/>
        <w:ind w:firstLine="284"/>
        <w:rPr>
          <w:sz w:val="20"/>
        </w:rPr>
      </w:pPr>
    </w:p>
    <w:p w:rsidR="00000000" w:rsidRDefault="00A93781">
      <w:pPr>
        <w:pStyle w:val="a4"/>
        <w:spacing w:after="0"/>
        <w:ind w:firstLine="284"/>
        <w:rPr>
          <w:b/>
          <w:sz w:val="20"/>
        </w:rPr>
      </w:pPr>
      <w:r>
        <w:rPr>
          <w:b/>
          <w:sz w:val="20"/>
        </w:rPr>
        <w:t>ПОСОБИЕ 6.91 к СНиП 2.04.05-91</w:t>
      </w:r>
    </w:p>
    <w:p w:rsidR="00000000" w:rsidRDefault="00A93781">
      <w:pPr>
        <w:pStyle w:val="a4"/>
        <w:spacing w:after="0"/>
        <w:ind w:firstLine="284"/>
        <w:rPr>
          <w:sz w:val="20"/>
        </w:rPr>
      </w:pPr>
    </w:p>
    <w:p w:rsidR="00000000" w:rsidRDefault="00A93781">
      <w:pPr>
        <w:pStyle w:val="a4"/>
        <w:spacing w:after="0"/>
        <w:ind w:firstLine="284"/>
        <w:rPr>
          <w:b/>
          <w:sz w:val="20"/>
        </w:rPr>
      </w:pPr>
      <w:r>
        <w:rPr>
          <w:b/>
          <w:sz w:val="20"/>
        </w:rPr>
        <w:t>Огнестойкие воздуховоды</w:t>
      </w:r>
    </w:p>
    <w:p w:rsidR="00000000" w:rsidRDefault="00A93781">
      <w:pPr>
        <w:pStyle w:val="a4"/>
        <w:spacing w:after="0"/>
        <w:ind w:firstLine="284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Главный инженер института</w:t>
      </w:r>
      <w:r>
        <w:rPr>
          <w:sz w:val="20"/>
        </w:rPr>
        <w:tab/>
        <w:t>И.Б.Львовский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Главный специалист</w:t>
      </w:r>
      <w:r>
        <w:rPr>
          <w:sz w:val="20"/>
        </w:rPr>
        <w:tab/>
      </w:r>
      <w:r>
        <w:rPr>
          <w:sz w:val="20"/>
        </w:rPr>
        <w:tab/>
        <w:t>Б.В.Баркалов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УКД 697 911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Рекомендовано к изданию решением секции</w:t>
      </w:r>
      <w:r>
        <w:rPr>
          <w:sz w:val="20"/>
        </w:rPr>
        <w:t xml:space="preserve"> Технического Совета арендного предпр</w:t>
      </w:r>
      <w:r>
        <w:rPr>
          <w:sz w:val="20"/>
        </w:rPr>
        <w:t>и</w:t>
      </w:r>
      <w:r>
        <w:rPr>
          <w:sz w:val="20"/>
        </w:rPr>
        <w:t>ятия Промстройпроект.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В Российской Федерации отсутствуют нормативные и экспериментал</w:t>
      </w:r>
      <w:r>
        <w:rPr>
          <w:sz w:val="20"/>
        </w:rPr>
        <w:t>ь</w:t>
      </w:r>
      <w:r>
        <w:rPr>
          <w:sz w:val="20"/>
        </w:rPr>
        <w:t>ные данные об огнестойкости воздуховодов, коллекторов, каналов и шахт для систем вентиляции, кондиционирования воздуха, воздушного отопления, а также для систем удаления дыма при пожарах (далее “воздуховоды”) и метод</w:t>
      </w:r>
      <w:r>
        <w:rPr>
          <w:sz w:val="20"/>
        </w:rPr>
        <w:t>и</w:t>
      </w:r>
      <w:r>
        <w:rPr>
          <w:sz w:val="20"/>
        </w:rPr>
        <w:t>ка испытаний воздуховодов на огнестойкость.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Пособие 6.91 к СНиП 2.04.05-91 разработано на основании материалов одноименного пособия к СНиП П-33-75, выпуска 10 к СНиП 2.04.</w:t>
      </w:r>
      <w:r>
        <w:rPr>
          <w:sz w:val="20"/>
        </w:rPr>
        <w:t>-5-86 и опу</w:t>
      </w:r>
      <w:r>
        <w:rPr>
          <w:sz w:val="20"/>
        </w:rPr>
        <w:t>б</w:t>
      </w:r>
      <w:r>
        <w:rPr>
          <w:sz w:val="20"/>
        </w:rPr>
        <w:t>ликованных работ ВНИИПО МВД СССР и ЦНИИСК им. Кучеренко, подтве</w:t>
      </w:r>
      <w:r>
        <w:rPr>
          <w:sz w:val="20"/>
        </w:rPr>
        <w:t>р</w:t>
      </w:r>
      <w:r>
        <w:rPr>
          <w:sz w:val="20"/>
        </w:rPr>
        <w:t>жденных опытом проектирования и эксплуатации воздуховодов, обобщенного Промстройпроектом и ГПИ Минлегпрома СССР.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Пособие 6.91 дополнено данными, вытекающими из новых требований к огнестойк</w:t>
      </w:r>
      <w:r>
        <w:rPr>
          <w:sz w:val="20"/>
        </w:rPr>
        <w:t>о</w:t>
      </w:r>
      <w:r>
        <w:rPr>
          <w:sz w:val="20"/>
        </w:rPr>
        <w:t>сти воздуховодов, содержащихся в СНиП 2.04.05-91.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Пособие 6.91 разработано институтом Промстройпроект (канд. техн. наук Б.В.Баркалов). Пособие содержит рекомендации по проектированию огн</w:t>
      </w:r>
      <w:r>
        <w:rPr>
          <w:sz w:val="20"/>
        </w:rPr>
        <w:t>е</w:t>
      </w:r>
      <w:r>
        <w:rPr>
          <w:sz w:val="20"/>
        </w:rPr>
        <w:t>стойких воздуховодов и действует до получения данных об огне</w:t>
      </w:r>
      <w:r>
        <w:rPr>
          <w:sz w:val="20"/>
        </w:rPr>
        <w:t>стойкости во</w:t>
      </w:r>
      <w:r>
        <w:rPr>
          <w:sz w:val="20"/>
        </w:rPr>
        <w:t>з</w:t>
      </w:r>
      <w:r>
        <w:rPr>
          <w:sz w:val="20"/>
        </w:rPr>
        <w:t>духоводов, прошедших испытания по утвержденной методике.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Пособие предназначено для специалистов в области отопления и ве</w:t>
      </w:r>
      <w:r>
        <w:rPr>
          <w:sz w:val="20"/>
        </w:rPr>
        <w:t>н</w:t>
      </w:r>
      <w:r>
        <w:rPr>
          <w:sz w:val="20"/>
        </w:rPr>
        <w:t>тиляции.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Рецензент доктор технических наук</w:t>
      </w:r>
      <w:r>
        <w:rPr>
          <w:sz w:val="20"/>
        </w:rPr>
        <w:tab/>
      </w:r>
      <w:r>
        <w:rPr>
          <w:sz w:val="20"/>
        </w:rPr>
        <w:tab/>
        <w:t>В.П.Титов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>Редактор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Н.В.Агафонова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BodyText2"/>
        <w:ind w:firstLine="284"/>
        <w:jc w:val="both"/>
        <w:rPr>
          <w:sz w:val="20"/>
        </w:rPr>
      </w:pPr>
    </w:p>
    <w:p w:rsidR="00000000" w:rsidRDefault="00A93781" w:rsidP="00A93781">
      <w:pPr>
        <w:numPr>
          <w:ilvl w:val="0"/>
          <w:numId w:val="1"/>
        </w:numPr>
        <w:ind w:left="0" w:firstLine="284"/>
        <w:jc w:val="both"/>
      </w:pPr>
      <w:r>
        <w:t>Огнестойкий воздуховод, согласно определению СНиП 2.04.05-91 (далее СНиП) – “плотный воздуховод со стенками, имеющими нормируемый предел огнестойкости”.</w:t>
      </w:r>
    </w:p>
    <w:p w:rsidR="00000000" w:rsidRDefault="00A93781" w:rsidP="00A93781">
      <w:pPr>
        <w:pStyle w:val="BodyText2"/>
        <w:numPr>
          <w:ilvl w:val="12"/>
          <w:numId w:val="0"/>
        </w:numPr>
        <w:ind w:firstLine="284"/>
        <w:jc w:val="both"/>
        <w:rPr>
          <w:sz w:val="20"/>
        </w:rPr>
      </w:pPr>
      <w:r>
        <w:rPr>
          <w:sz w:val="20"/>
        </w:rPr>
        <w:t>Плотным, согласно СНиП, называется воздуховод класса “П”, если п</w:t>
      </w:r>
      <w:r>
        <w:rPr>
          <w:sz w:val="20"/>
        </w:rPr>
        <w:t>о</w:t>
      </w:r>
      <w:r>
        <w:rPr>
          <w:sz w:val="20"/>
        </w:rPr>
        <w:t>тери или подс</w:t>
      </w:r>
      <w:r>
        <w:rPr>
          <w:sz w:val="20"/>
        </w:rPr>
        <w:t>о</w:t>
      </w:r>
      <w:r>
        <w:rPr>
          <w:sz w:val="20"/>
        </w:rPr>
        <w:t>сы воздуха в % от полезного расхода в системе не превышают:</w:t>
      </w:r>
    </w:p>
    <w:p w:rsidR="00000000" w:rsidRDefault="00A93781" w:rsidP="00A93781">
      <w:pPr>
        <w:pStyle w:val="BodyText2"/>
        <w:numPr>
          <w:ilvl w:val="12"/>
          <w:numId w:val="0"/>
        </w:numPr>
        <w:ind w:firstLine="284"/>
        <w:jc w:val="both"/>
        <w:rPr>
          <w:sz w:val="20"/>
        </w:rPr>
      </w:pPr>
    </w:p>
    <w:p w:rsidR="00000000" w:rsidRDefault="00A93781" w:rsidP="00A93781">
      <w:pPr>
        <w:numPr>
          <w:ilvl w:val="12"/>
          <w:numId w:val="0"/>
        </w:numPr>
        <w:ind w:firstLine="284"/>
        <w:jc w:val="center"/>
      </w:pPr>
      <w:r>
        <w:rPr>
          <w:position w:val="-14"/>
        </w:rPr>
        <w:object w:dxaOrig="2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0.25pt" o:ole="">
            <v:imagedata r:id="rId5" o:title=""/>
          </v:shape>
          <o:OLEObject Type="Embed" ProgID="Equation.3" ShapeID="_x0000_i1025" DrawAspect="Content" ObjectID="_1427212658" r:id="rId6"/>
        </w:object>
      </w:r>
      <w:r>
        <w:t xml:space="preserve">,                             (1) </w:t>
      </w:r>
    </w:p>
    <w:p w:rsidR="00000000" w:rsidRDefault="00A93781" w:rsidP="00A93781">
      <w:pPr>
        <w:numPr>
          <w:ilvl w:val="12"/>
          <w:numId w:val="0"/>
        </w:numPr>
        <w:ind w:firstLine="284"/>
        <w:jc w:val="both"/>
      </w:pPr>
    </w:p>
    <w:p w:rsidR="00000000" w:rsidRDefault="00A93781" w:rsidP="00A93781">
      <w:pPr>
        <w:numPr>
          <w:ilvl w:val="12"/>
          <w:numId w:val="0"/>
        </w:numPr>
        <w:ind w:firstLine="284"/>
        <w:jc w:val="both"/>
      </w:pPr>
      <w:r>
        <w:t xml:space="preserve">где: </w:t>
      </w:r>
      <w:r>
        <w:rPr>
          <w:i/>
          <w:lang w:val="en-US"/>
        </w:rPr>
        <w:t>l</w:t>
      </w:r>
      <w:r>
        <w:t xml:space="preserve">, </w:t>
      </w:r>
      <w:r>
        <w:rPr>
          <w:position w:val="-14"/>
        </w:rPr>
        <w:object w:dxaOrig="400" w:dyaOrig="380">
          <v:shape id="_x0000_i1026" type="#_x0000_t75" style="width:20.25pt;height:18.75pt" o:ole="">
            <v:imagedata r:id="rId7" o:title=""/>
          </v:shape>
          <o:OLEObject Type="Embed" ProgID="Equation.3" ShapeID="_x0000_i1026" DrawAspect="Content" ObjectID="_1427212659" r:id="rId8"/>
        </w:object>
      </w:r>
      <w:r>
        <w:t xml:space="preserve"> - длина и средний диаметр воздуховода, м. Расчет выполняется о</w:t>
      </w:r>
      <w:r>
        <w:t>т</w:t>
      </w:r>
      <w:r>
        <w:t>дельно для всас</w:t>
      </w:r>
      <w:r>
        <w:t>ы</w:t>
      </w:r>
      <w:r>
        <w:t>вающей и нагнетательной частей системы,</w:t>
      </w:r>
    </w:p>
    <w:p w:rsidR="00000000" w:rsidRDefault="00A93781" w:rsidP="00A93781">
      <w:pPr>
        <w:numPr>
          <w:ilvl w:val="12"/>
          <w:numId w:val="0"/>
        </w:numPr>
        <w:ind w:firstLine="284"/>
        <w:jc w:val="both"/>
      </w:pPr>
      <w:r>
        <w:rPr>
          <w:i/>
        </w:rPr>
        <w:t>р</w:t>
      </w:r>
      <w:r>
        <w:t xml:space="preserve">, Д, </w:t>
      </w:r>
      <w:r>
        <w:rPr>
          <w:lang w:val="en-US"/>
        </w:rPr>
        <w:t>V</w:t>
      </w:r>
      <w:r>
        <w:t xml:space="preserve"> – избыточное статическое давление, Па, диаметр, м, скорость в во</w:t>
      </w:r>
      <w:r>
        <w:t>з</w:t>
      </w:r>
      <w:r>
        <w:t>духоводе, в месте присоединения его к вентилятору, м/с.</w:t>
      </w:r>
    </w:p>
    <w:p w:rsidR="00000000" w:rsidRDefault="00A93781" w:rsidP="00A93781">
      <w:pPr>
        <w:numPr>
          <w:ilvl w:val="12"/>
          <w:numId w:val="0"/>
        </w:numPr>
        <w:ind w:firstLine="284"/>
        <w:jc w:val="both"/>
      </w:pPr>
      <w:r>
        <w:t>Для прямоугольных воздуховодов допускаются потери на 10% больше, чем получе</w:t>
      </w:r>
      <w:r>
        <w:t>н</w:t>
      </w:r>
      <w:r>
        <w:t>ные по формуле(1).</w:t>
      </w:r>
    </w:p>
    <w:p w:rsidR="00000000" w:rsidRDefault="00A93781" w:rsidP="00A93781">
      <w:pPr>
        <w:numPr>
          <w:ilvl w:val="12"/>
          <w:numId w:val="0"/>
        </w:numPr>
        <w:ind w:firstLine="284"/>
        <w:jc w:val="both"/>
      </w:pPr>
      <w:r>
        <w:t>Потери и подсосы могут быть также определены по табл.1 СНиП.</w:t>
      </w:r>
    </w:p>
    <w:p w:rsidR="00000000" w:rsidRDefault="00A93781" w:rsidP="00A93781">
      <w:pPr>
        <w:numPr>
          <w:ilvl w:val="0"/>
          <w:numId w:val="1"/>
        </w:numPr>
        <w:ind w:left="0" w:firstLine="284"/>
        <w:jc w:val="both"/>
      </w:pPr>
      <w:r>
        <w:t>Огнестойкими должн</w:t>
      </w:r>
      <w:r>
        <w:t>ы проектироваться транзитные воздуховоды систем вентиляции, кондиционирования воздуха и воздушного отопления (далее вентиляции) и все вытяжные и приточные воздуховоды системы дым</w:t>
      </w:r>
      <w:r>
        <w:t>о</w:t>
      </w:r>
      <w:r>
        <w:t>удаления (далее дымоудаление). Транзитным, согласно СНиП называется во</w:t>
      </w:r>
      <w:r>
        <w:t>з</w:t>
      </w:r>
      <w:r>
        <w:t>духовод или участок воздуховода, прокладываемый за пределами обслужива</w:t>
      </w:r>
      <w:r>
        <w:t>е</w:t>
      </w:r>
      <w:r>
        <w:t>мого им помещения или группы помещений, обслуживаемой сборным воздух</w:t>
      </w:r>
      <w:r>
        <w:t>о</w:t>
      </w:r>
      <w:r>
        <w:t>водом. Сборным воздуховодом называется участок воздуховода, к которому присоединяются воздуховоды, проложенные на одном эт</w:t>
      </w:r>
      <w:r>
        <w:t>аже. Сборный возд</w:t>
      </w:r>
      <w:r>
        <w:t>у</w:t>
      </w:r>
      <w:r>
        <w:t>ховод, к которому присоединяются воздуховоды из двух или большего числа этажей, называется коллектором.</w:t>
      </w:r>
    </w:p>
    <w:p w:rsidR="00000000" w:rsidRDefault="00A93781" w:rsidP="00A93781">
      <w:pPr>
        <w:numPr>
          <w:ilvl w:val="0"/>
          <w:numId w:val="1"/>
        </w:numPr>
        <w:ind w:left="0" w:firstLine="284"/>
        <w:jc w:val="both"/>
      </w:pPr>
      <w:r>
        <w:lastRenderedPageBreak/>
        <w:t>Предел огнестойкости транзитных воздуховодов отдельных, сбо</w:t>
      </w:r>
      <w:r>
        <w:t>р</w:t>
      </w:r>
      <w:r>
        <w:t>ных и коллекторов вентиляционных систем, следует понимать в соответствии с п.4.118 СНиП.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>Транзитные воздуховоды и коллекторы после пересечения, перекрытия или противопожарной преграды обслуживаемого или другого помещения на всем протяжении до помещения для вентиляционного оборудования следует предусматривать с пределом огнестойк</w:t>
      </w:r>
      <w:r>
        <w:rPr>
          <w:sz w:val="20"/>
        </w:rPr>
        <w:t>ости, не менее указанного в табл.1.</w:t>
      </w:r>
    </w:p>
    <w:p w:rsidR="00000000" w:rsidRDefault="00A93781" w:rsidP="00A93781">
      <w:pPr>
        <w:numPr>
          <w:ilvl w:val="0"/>
          <w:numId w:val="2"/>
        </w:numPr>
        <w:ind w:left="0" w:firstLine="284"/>
        <w:jc w:val="both"/>
      </w:pPr>
      <w:r>
        <w:t>Предел огнестойкости воздуховодов дымоудаления – транзитных и не транзитных, одиночных, сборных или коллекторов следует принимать не менее 0,75 ч при удалении дыма и газов (далее газов) непосредственно из п</w:t>
      </w:r>
      <w:r>
        <w:t>о</w:t>
      </w:r>
      <w:r>
        <w:t>мещения, в котором произошел пожар, 0,5 ч – при удалении газов после пож</w:t>
      </w:r>
      <w:r>
        <w:t>а</w:t>
      </w:r>
      <w:r>
        <w:t>ра, потушенного установками газового пожаротушения предел огнестойкости воздуховодов приточной противодымной вентиляции следует принимать ра</w:t>
      </w:r>
      <w:r>
        <w:t>в</w:t>
      </w:r>
      <w:r>
        <w:t>ным 0,5 ч.</w:t>
      </w:r>
    </w:p>
    <w:p w:rsidR="00000000" w:rsidRDefault="00A93781">
      <w:pPr>
        <w:pStyle w:val="a4"/>
        <w:spacing w:after="0"/>
        <w:ind w:firstLine="284"/>
        <w:jc w:val="right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right"/>
        <w:rPr>
          <w:sz w:val="20"/>
        </w:rPr>
      </w:pPr>
      <w:r>
        <w:rPr>
          <w:sz w:val="20"/>
        </w:rPr>
        <w:t>Таблица</w:t>
      </w:r>
      <w:r>
        <w:rPr>
          <w:sz w:val="20"/>
          <w:lang w:val="en-US"/>
        </w:rPr>
        <w:t xml:space="preserve"> </w:t>
      </w:r>
      <w:r>
        <w:rPr>
          <w:sz w:val="20"/>
        </w:rPr>
        <w:t>1.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567"/>
        <w:gridCol w:w="567"/>
        <w:gridCol w:w="622"/>
        <w:gridCol w:w="653"/>
        <w:gridCol w:w="912"/>
        <w:gridCol w:w="767"/>
        <w:gridCol w:w="874"/>
        <w:gridCol w:w="7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6663" w:type="dxa"/>
            <w:gridSpan w:val="9"/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Предел огнестойкости транзитны</w:t>
            </w:r>
            <w:r>
              <w:rPr>
                <w:sz w:val="18"/>
              </w:rPr>
              <w:t>х воздуховодов и коллекторов, ч.</w:t>
            </w:r>
          </w:p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при прокладке их через помещения.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Помещения, обслуживаемые си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темой вентил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ции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Складов и кладовых категорий А, Б, В и кладовых горючих</w:t>
            </w:r>
          </w:p>
        </w:tc>
        <w:tc>
          <w:tcPr>
            <w:tcW w:w="1756" w:type="dxa"/>
            <w:gridSpan w:val="3"/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категорий</w:t>
            </w:r>
          </w:p>
        </w:tc>
        <w:tc>
          <w:tcPr>
            <w:tcW w:w="653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Коридоры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водственного здания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Административно-быт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вые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</w:p>
        </w:tc>
        <w:tc>
          <w:tcPr>
            <w:tcW w:w="874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Коридоры (кроме производственного зд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жилые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А, Б или В</w:t>
            </w: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622" w:type="dxa"/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  <w:r>
              <w:rPr>
                <w:sz w:val="18"/>
              </w:rPr>
              <w:t>Д</w:t>
            </w:r>
          </w:p>
        </w:tc>
        <w:tc>
          <w:tcPr>
            <w:tcW w:w="65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Склады и клад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категорий А, Б, В и клад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горючих материалов</w:t>
            </w:r>
          </w:p>
        </w:tc>
        <w:tc>
          <w:tcPr>
            <w:tcW w:w="99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2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5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61" w:type="dxa"/>
            <w:gridSpan w:val="4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93781">
            <w:pPr>
              <w:jc w:val="both"/>
            </w:pPr>
            <w:r>
              <w:t>Категорий А, Б или В</w:t>
            </w:r>
          </w:p>
        </w:tc>
        <w:tc>
          <w:tcPr>
            <w:tcW w:w="99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2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5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1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</w:t>
            </w:r>
            <w:r>
              <w:rPr>
                <w:sz w:val="20"/>
                <w:u w:val="single"/>
              </w:rPr>
              <w:t>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66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4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</w:tcPr>
          <w:p w:rsidR="00000000" w:rsidRDefault="00A93781">
            <w:pPr>
              <w:pStyle w:val="a4"/>
              <w:spacing w:after="0"/>
              <w:ind w:hanging="1"/>
              <w:jc w:val="both"/>
              <w:rPr>
                <w:sz w:val="20"/>
              </w:rPr>
            </w:pPr>
            <w:r>
              <w:rPr>
                <w:sz w:val="20"/>
              </w:rPr>
              <w:t>Не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пускается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Категорий Г или Д</w:t>
            </w:r>
          </w:p>
        </w:tc>
        <w:tc>
          <w:tcPr>
            <w:tcW w:w="99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6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89" w:type="dxa"/>
            <w:gridSpan w:val="2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нормир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</w:t>
            </w:r>
          </w:p>
        </w:tc>
        <w:tc>
          <w:tcPr>
            <w:tcW w:w="65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91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6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873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09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Коридоры 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5103" w:type="dxa"/>
            <w:gridSpan w:val="7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нормир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изводственного здания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5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20"/>
                <w:lang w:val="en-US"/>
              </w:rPr>
            </w:pPr>
          </w:p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нормир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бытовые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допуск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ется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5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20"/>
                <w:lang w:val="en-US"/>
              </w:rPr>
            </w:pPr>
          </w:p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нормир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u w:val="single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5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ind w:firstLine="284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Коридоры (кроме 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нормир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одственных зданий)</w:t>
            </w: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5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Жилые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Не нормир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653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874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>0,5*</w:t>
            </w:r>
          </w:p>
        </w:tc>
      </w:tr>
    </w:tbl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*0,25 ч – в зданиях </w:t>
      </w:r>
      <w:r>
        <w:rPr>
          <w:sz w:val="20"/>
          <w:lang w:val="en-US"/>
        </w:rPr>
        <w:t xml:space="preserve">III </w:t>
      </w:r>
      <w:r>
        <w:rPr>
          <w:sz w:val="20"/>
        </w:rPr>
        <w:t xml:space="preserve">а, </w:t>
      </w:r>
      <w:r>
        <w:rPr>
          <w:sz w:val="20"/>
          <w:lang w:val="en-US"/>
        </w:rPr>
        <w:t>IV</w:t>
      </w:r>
      <w:r>
        <w:rPr>
          <w:sz w:val="20"/>
        </w:rPr>
        <w:t>,</w:t>
      </w:r>
      <w:r>
        <w:rPr>
          <w:sz w:val="20"/>
          <w:lang w:val="en-US"/>
        </w:rPr>
        <w:t xml:space="preserve"> IV </w:t>
      </w:r>
      <w:r>
        <w:rPr>
          <w:sz w:val="20"/>
        </w:rPr>
        <w:t xml:space="preserve">а и </w:t>
      </w:r>
      <w:r>
        <w:rPr>
          <w:sz w:val="20"/>
          <w:lang w:val="en-US"/>
        </w:rPr>
        <w:t>V</w:t>
      </w:r>
      <w:r>
        <w:rPr>
          <w:sz w:val="20"/>
        </w:rPr>
        <w:t xml:space="preserve"> степеней огнестойкости.</w:t>
      </w:r>
    </w:p>
    <w:p w:rsidR="00000000" w:rsidRDefault="00A93781">
      <w:pPr>
        <w:pStyle w:val="a4"/>
        <w:spacing w:after="0"/>
        <w:ind w:firstLine="284"/>
        <w:jc w:val="both"/>
        <w:rPr>
          <w:i/>
          <w:sz w:val="20"/>
        </w:rPr>
      </w:pPr>
      <w:r>
        <w:rPr>
          <w:i/>
          <w:sz w:val="20"/>
        </w:rPr>
        <w:t>Примечания: 1. Значения предела огнестойкости приведены в таблице в виде дроби: в числителе - в пределах обслуживаемого этажа; в знаменателе- за пределами обслуживаемого этажа.</w:t>
      </w:r>
    </w:p>
    <w:p w:rsidR="00000000" w:rsidRDefault="00A93781">
      <w:pPr>
        <w:pStyle w:val="a4"/>
        <w:spacing w:after="0"/>
        <w:ind w:firstLine="284"/>
        <w:jc w:val="both"/>
        <w:rPr>
          <w:i/>
          <w:sz w:val="20"/>
        </w:rPr>
      </w:pPr>
      <w:r>
        <w:rPr>
          <w:i/>
          <w:sz w:val="20"/>
        </w:rPr>
        <w:t>2. для воздуховодов, прокладываемых через несколько различных п</w:t>
      </w:r>
      <w:r>
        <w:rPr>
          <w:i/>
          <w:sz w:val="20"/>
        </w:rPr>
        <w:t>о</w:t>
      </w:r>
      <w:r>
        <w:rPr>
          <w:i/>
          <w:sz w:val="20"/>
        </w:rPr>
        <w:t xml:space="preserve">мещений одного этажа, следует предусматривать одинаковое большее значение предела </w:t>
      </w:r>
      <w:r>
        <w:rPr>
          <w:i/>
          <w:sz w:val="20"/>
        </w:rPr>
        <w:t>огнестойкости.</w:t>
      </w:r>
    </w:p>
    <w:p w:rsidR="00000000" w:rsidRDefault="00A93781" w:rsidP="00A93781">
      <w:pPr>
        <w:numPr>
          <w:ilvl w:val="12"/>
          <w:numId w:val="0"/>
        </w:numPr>
        <w:ind w:firstLine="284"/>
        <w:jc w:val="both"/>
      </w:pPr>
    </w:p>
    <w:p w:rsidR="00000000" w:rsidRDefault="00A93781" w:rsidP="00A93781">
      <w:pPr>
        <w:numPr>
          <w:ilvl w:val="0"/>
          <w:numId w:val="3"/>
        </w:numPr>
        <w:ind w:left="0" w:firstLine="284"/>
        <w:jc w:val="both"/>
      </w:pPr>
      <w:r>
        <w:lastRenderedPageBreak/>
        <w:t>Конструкцию и материал стенок огнестойких, вытяжных и прид</w:t>
      </w:r>
      <w:r>
        <w:t>а</w:t>
      </w:r>
      <w:r>
        <w:t>точных воздуховодов для систем вентиляции и систем дымоудаления рекоме</w:t>
      </w:r>
      <w:r>
        <w:t>н</w:t>
      </w:r>
      <w:r>
        <w:t>дуется принимать по табл.2 в соответствии с требуемым пределом огнестойк</w:t>
      </w:r>
      <w:r>
        <w:t>о</w:t>
      </w:r>
      <w:r>
        <w:t>сти.</w:t>
      </w:r>
    </w:p>
    <w:p w:rsidR="00000000" w:rsidRDefault="00A93781" w:rsidP="00A93781">
      <w:pPr>
        <w:numPr>
          <w:ilvl w:val="0"/>
          <w:numId w:val="4"/>
        </w:numPr>
        <w:ind w:left="0" w:firstLine="284"/>
        <w:jc w:val="both"/>
      </w:pPr>
      <w:r>
        <w:t>Для помещений общественных административно-бытовых зданий, а также для помещений категории В (кроме складов), Г и Д допускается проект</w:t>
      </w:r>
      <w:r>
        <w:t>и</w:t>
      </w:r>
      <w:r>
        <w:t>ровать транзитные воздуховоды вентиляции из негорючих материалов с нено</w:t>
      </w:r>
      <w:r>
        <w:t>р</w:t>
      </w:r>
      <w:r>
        <w:t>мируемым пределом огнестойкости, предусматривая установку огне задерж</w:t>
      </w:r>
      <w:r>
        <w:t>и</w:t>
      </w:r>
      <w:r>
        <w:t>вающих клап</w:t>
      </w:r>
      <w:r>
        <w:t>анов при пересечении воздуховодами перекрытия с нормируемым пределом огнестойкости 0,25 и более или каждой противопожарной преграды с нормируемым пределом огнестойкости 0,75ч и более (п.4.119 СНиП).</w:t>
      </w:r>
    </w:p>
    <w:p w:rsidR="00000000" w:rsidRDefault="00A93781" w:rsidP="00A93781">
      <w:pPr>
        <w:numPr>
          <w:ilvl w:val="0"/>
          <w:numId w:val="4"/>
        </w:numPr>
        <w:ind w:left="0" w:firstLine="284"/>
        <w:jc w:val="both"/>
      </w:pPr>
      <w:r>
        <w:t>Транзитные воздуховоды и коллекторы систем вентиляции допу</w:t>
      </w:r>
      <w:r>
        <w:t>с</w:t>
      </w:r>
      <w:r>
        <w:t>кается проектир</w:t>
      </w:r>
      <w:r>
        <w:t>о</w:t>
      </w:r>
      <w:r>
        <w:t>вать (п.4.120 СНиП):</w:t>
      </w:r>
    </w:p>
    <w:p w:rsidR="00000000" w:rsidRDefault="00A93781" w:rsidP="00A93781">
      <w:pPr>
        <w:numPr>
          <w:ilvl w:val="12"/>
          <w:numId w:val="0"/>
        </w:numPr>
        <w:jc w:val="both"/>
      </w:pPr>
      <w:r>
        <w:t>а) из трудно горючих и горючих материалов при условии прокладки каждого воздуховода в отдельной шахте, кожухе или гильзе из негорючих м</w:t>
      </w:r>
      <w:r>
        <w:t>а</w:t>
      </w:r>
      <w:r>
        <w:t>териалов с пределом огнесто</w:t>
      </w:r>
      <w:r>
        <w:t>й</w:t>
      </w:r>
      <w:r>
        <w:t>кости 0,5 ч;</w:t>
      </w:r>
    </w:p>
    <w:p w:rsidR="00000000" w:rsidRDefault="00A93781" w:rsidP="00A93781">
      <w:pPr>
        <w:numPr>
          <w:ilvl w:val="12"/>
          <w:numId w:val="0"/>
        </w:numPr>
        <w:jc w:val="both"/>
      </w:pPr>
      <w:r>
        <w:t>б) из негорючих материалов с пределом ог</w:t>
      </w:r>
      <w:r>
        <w:t>нестойкости ниже норм</w:t>
      </w:r>
      <w:r>
        <w:t>и</w:t>
      </w:r>
      <w:r>
        <w:t>руемого, но не ниже 0,25 ч для воздуховодов, а также коллекторов из помещ</w:t>
      </w:r>
      <w:r>
        <w:t>е</w:t>
      </w:r>
      <w:r>
        <w:t>ний категорий А,</w:t>
      </w:r>
      <w:r>
        <w:rPr>
          <w:lang w:val="en-US"/>
        </w:rPr>
        <w:t xml:space="preserve"> </w:t>
      </w:r>
      <w:r>
        <w:t>Б и В, при условии прокладки воздуховодов в общих шахтах и других ограждениях из негорючих матери</w:t>
      </w:r>
      <w:r>
        <w:t>а</w:t>
      </w:r>
      <w:r>
        <w:t>лов с пределом огнестойкости 0,5 ч.</w:t>
      </w:r>
    </w:p>
    <w:p w:rsidR="00000000" w:rsidRDefault="00A93781" w:rsidP="00A93781">
      <w:pPr>
        <w:numPr>
          <w:ilvl w:val="0"/>
          <w:numId w:val="5"/>
        </w:numPr>
        <w:ind w:left="0" w:firstLine="284"/>
        <w:jc w:val="both"/>
      </w:pPr>
      <w:r>
        <w:t>Предел огнестойкости воздуховодов и коллекторов, прокладыва</w:t>
      </w:r>
      <w:r>
        <w:t>е</w:t>
      </w:r>
      <w:r>
        <w:t>мых в помещениях для вентиляционного оборудования и снаружи зданий, не нормируется, кроме транзитных воздуховодов, прокладываемых через помещ</w:t>
      </w:r>
      <w:r>
        <w:t>е</w:t>
      </w:r>
      <w:r>
        <w:t>ния для вентиляционного оборудования, п. 4.121 СНиП.</w:t>
      </w:r>
    </w:p>
    <w:p w:rsidR="00000000" w:rsidRDefault="00A93781" w:rsidP="00A93781">
      <w:pPr>
        <w:numPr>
          <w:ilvl w:val="0"/>
          <w:numId w:val="5"/>
        </w:numPr>
        <w:ind w:left="0" w:firstLine="284"/>
        <w:jc w:val="both"/>
      </w:pPr>
      <w:r>
        <w:t>Транзитные</w:t>
      </w:r>
      <w:r>
        <w:t xml:space="preserve"> воздуховоды для систем вентиляции тамбуров-шлюзов при помещениях категорий А и Б, а также систем местных отсосов взрыв</w:t>
      </w:r>
      <w:r>
        <w:t>о</w:t>
      </w:r>
      <w:r>
        <w:t>опасных смесей следует проектировать на всем протяжении с пределом огн</w:t>
      </w:r>
      <w:r>
        <w:t>е</w:t>
      </w:r>
      <w:r>
        <w:t>стойкости 0,5 ч (п. 4.122 СНиП).</w:t>
      </w:r>
    </w:p>
    <w:p w:rsidR="00000000" w:rsidRDefault="00A93781" w:rsidP="00A93781">
      <w:pPr>
        <w:numPr>
          <w:ilvl w:val="0"/>
          <w:numId w:val="5"/>
        </w:numPr>
        <w:ind w:left="0" w:firstLine="284"/>
        <w:jc w:val="both"/>
      </w:pPr>
      <w:r>
        <w:t>Условия прокладки транзитных воздуховодов:</w:t>
      </w:r>
    </w:p>
    <w:p w:rsidR="00000000" w:rsidRDefault="00A93781" w:rsidP="00A93781">
      <w:pPr>
        <w:numPr>
          <w:ilvl w:val="12"/>
          <w:numId w:val="0"/>
        </w:numPr>
        <w:jc w:val="both"/>
      </w:pPr>
      <w:r>
        <w:t>а) согласно п. 3.9 СНиП 2.01.02-85 “В противопожарных стенах д</w:t>
      </w:r>
      <w:r>
        <w:t>о</w:t>
      </w:r>
      <w:r>
        <w:t>пускается устраивать вентиляционные и дымовые каналы, так чтобы в местах их размещения предел огнестойкости противопожарной стены с каждой стор</w:t>
      </w:r>
      <w:r>
        <w:t>о</w:t>
      </w:r>
      <w:r>
        <w:t>ны был не менее 2,5 ч”;</w:t>
      </w:r>
    </w:p>
    <w:p w:rsidR="00000000" w:rsidRDefault="00A93781" w:rsidP="00A93781">
      <w:pPr>
        <w:numPr>
          <w:ilvl w:val="12"/>
          <w:numId w:val="0"/>
        </w:numPr>
        <w:jc w:val="both"/>
      </w:pPr>
      <w:r>
        <w:t xml:space="preserve">б) не следует </w:t>
      </w:r>
      <w:r>
        <w:t>прокладывать воздуховоды через лестничные клетки (за исключением воздуховодов приточной противодымной вентиляции) и через помещения убежищ;</w:t>
      </w:r>
    </w:p>
    <w:p w:rsidR="00000000" w:rsidRDefault="00A93781" w:rsidP="00A93781">
      <w:pPr>
        <w:numPr>
          <w:ilvl w:val="12"/>
          <w:numId w:val="0"/>
        </w:numPr>
        <w:jc w:val="both"/>
      </w:pPr>
      <w:r>
        <w:t>в) воздуховоды для помещений категорий А и Б и для систем местных отсосов взрывоопасных смесей не следует прокладывать в подвалах и в по</w:t>
      </w:r>
      <w:r>
        <w:t>д</w:t>
      </w:r>
      <w:r>
        <w:t>польных каналах (п.п. 4.124-4.126 СНиП).</w:t>
      </w:r>
    </w:p>
    <w:p w:rsidR="00000000" w:rsidRDefault="00A93781" w:rsidP="00A93781">
      <w:pPr>
        <w:numPr>
          <w:ilvl w:val="0"/>
          <w:numId w:val="6"/>
        </w:numPr>
        <w:ind w:left="0" w:firstLine="284"/>
        <w:jc w:val="both"/>
      </w:pPr>
      <w:r>
        <w:t>Воздуховоды для систем дымоудаления должны иметь компенсат</w:t>
      </w:r>
      <w:r>
        <w:t>о</w:t>
      </w:r>
      <w:r>
        <w:t>ры линейного расширения.</w:t>
      </w:r>
    </w:p>
    <w:p w:rsidR="00000000" w:rsidRDefault="00A93781" w:rsidP="00A93781">
      <w:pPr>
        <w:numPr>
          <w:ilvl w:val="0"/>
          <w:numId w:val="6"/>
        </w:numPr>
        <w:ind w:left="0" w:firstLine="284"/>
        <w:jc w:val="both"/>
      </w:pPr>
      <w:r>
        <w:t>Места прохода транзитных воздуховодов через стены, перегородки и перекрытия зданий (в том числе в кожухах и ша</w:t>
      </w:r>
      <w:r>
        <w:t>хтах) следует уплотнять нег</w:t>
      </w:r>
      <w:r>
        <w:t>о</w:t>
      </w:r>
      <w:r>
        <w:t>рючими материалами, обеспечивая нормируемый предел огнестойкости перес</w:t>
      </w:r>
      <w:r>
        <w:t>е</w:t>
      </w:r>
      <w:r>
        <w:t>каемого ограждения, п.4.127 СНиП.</w:t>
      </w:r>
    </w:p>
    <w:p w:rsidR="00000000" w:rsidRDefault="00A93781" w:rsidP="00A93781">
      <w:pPr>
        <w:numPr>
          <w:ilvl w:val="0"/>
          <w:numId w:val="6"/>
        </w:numPr>
        <w:ind w:left="0" w:firstLine="284"/>
        <w:jc w:val="both"/>
      </w:pPr>
      <w:r>
        <w:t>Огнезащитное покрытие ВПМ-2 по ГОСТ 25131-82 следует прим</w:t>
      </w:r>
      <w:r>
        <w:t>е</w:t>
      </w:r>
      <w:r>
        <w:t>нять для защиты транзитных, стальных воздуховодов, прокладываемых в п</w:t>
      </w:r>
      <w:r>
        <w:t>о</w:t>
      </w:r>
      <w:r>
        <w:t>мещениях с неагрессивной средой и относительной влажностью воздуха не б</w:t>
      </w:r>
      <w:r>
        <w:t>о</w:t>
      </w:r>
      <w:r>
        <w:t>лее 60%, при положительной температуре не выше 35</w:t>
      </w:r>
      <w:r>
        <w:rPr>
          <w:vertAlign w:val="superscript"/>
        </w:rPr>
        <w:t>о</w:t>
      </w:r>
      <w:r>
        <w:t>С.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>При условии нанесения на поверхность покрытия влагозащитного слоя допускается применение покрытия ВПМ-2 при относительной влаж</w:t>
      </w:r>
      <w:r>
        <w:rPr>
          <w:sz w:val="20"/>
        </w:rPr>
        <w:t>ности во</w:t>
      </w:r>
      <w:r>
        <w:rPr>
          <w:sz w:val="20"/>
        </w:rPr>
        <w:t>з</w:t>
      </w:r>
      <w:r>
        <w:rPr>
          <w:sz w:val="20"/>
        </w:rPr>
        <w:t>духа до 80%.</w:t>
      </w:r>
    </w:p>
    <w:p w:rsidR="00000000" w:rsidRDefault="00A93781" w:rsidP="00A93781">
      <w:pPr>
        <w:numPr>
          <w:ilvl w:val="0"/>
          <w:numId w:val="7"/>
        </w:numPr>
        <w:ind w:left="0" w:firstLine="284"/>
        <w:jc w:val="both"/>
      </w:pPr>
      <w:r>
        <w:t>Покрытия фосфатные по ГОСТ 23794-79 и по ГОСТ 25663-83 сл</w:t>
      </w:r>
      <w:r>
        <w:t>е</w:t>
      </w:r>
      <w:r>
        <w:t>дует применять для защиты стальных воздуховодов, прокладываемых внутри помещений с неагрессивной средой и относительной влажностью воздуха не более 75%.</w:t>
      </w:r>
    </w:p>
    <w:p w:rsidR="00000000" w:rsidRDefault="00A93781" w:rsidP="00A93781">
      <w:pPr>
        <w:numPr>
          <w:ilvl w:val="0"/>
          <w:numId w:val="7"/>
        </w:numPr>
        <w:ind w:left="0" w:firstLine="284"/>
        <w:jc w:val="both"/>
      </w:pPr>
      <w:r>
        <w:t>Применение асбоцемента в виде круглых (прямоугольных) труб и плоских (волнистых) листов или плит для изготовления или облицовки огн</w:t>
      </w:r>
      <w:r>
        <w:t>е</w:t>
      </w:r>
      <w:r>
        <w:t>стойких воздуховодов не допускается, так при высокой температуре в начал</w:t>
      </w:r>
      <w:r>
        <w:t>ь</w:t>
      </w:r>
      <w:r>
        <w:t>ной стадии пожара происходит их взрыв</w:t>
      </w:r>
      <w:r>
        <w:t>о</w:t>
      </w:r>
      <w:r>
        <w:t>образное разрушение.</w:t>
      </w:r>
    </w:p>
    <w:p w:rsidR="00000000" w:rsidRDefault="00A93781">
      <w:pPr>
        <w:tabs>
          <w:tab w:val="num" w:pos="0"/>
        </w:tabs>
        <w:ind w:firstLine="284"/>
        <w:jc w:val="both"/>
      </w:pPr>
    </w:p>
    <w:p w:rsidR="00000000" w:rsidRDefault="00A93781">
      <w:pPr>
        <w:tabs>
          <w:tab w:val="num" w:pos="0"/>
        </w:tabs>
        <w:ind w:firstLine="284"/>
        <w:jc w:val="both"/>
      </w:pPr>
    </w:p>
    <w:p w:rsidR="00000000" w:rsidRDefault="00A93781">
      <w:pPr>
        <w:tabs>
          <w:tab w:val="num" w:pos="0"/>
        </w:tabs>
        <w:ind w:firstLine="284"/>
        <w:jc w:val="both"/>
      </w:pPr>
    </w:p>
    <w:p w:rsidR="00000000" w:rsidRDefault="00A93781">
      <w:pPr>
        <w:tabs>
          <w:tab w:val="num" w:pos="0"/>
        </w:tabs>
        <w:ind w:firstLine="284"/>
        <w:jc w:val="both"/>
      </w:pPr>
    </w:p>
    <w:p w:rsidR="00000000" w:rsidRDefault="00A93781">
      <w:pPr>
        <w:ind w:firstLine="284"/>
        <w:jc w:val="right"/>
      </w:pPr>
      <w:r>
        <w:t>Таблица 2</w:t>
      </w: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877"/>
        <w:gridCol w:w="1037"/>
        <w:gridCol w:w="1302"/>
        <w:gridCol w:w="14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Тип конструкций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Конструкции и материалы стенок воздух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водов</w:t>
            </w:r>
          </w:p>
        </w:tc>
        <w:tc>
          <w:tcPr>
            <w:tcW w:w="1914" w:type="dxa"/>
            <w:gridSpan w:val="2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Толщина, мм не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нее</w:t>
            </w:r>
          </w:p>
        </w:tc>
        <w:tc>
          <w:tcPr>
            <w:tcW w:w="2764" w:type="dxa"/>
            <w:gridSpan w:val="2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Предел огнестойкости воздуховодов, коллекторов и шахт, ч для систем: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стенок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изоляции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вентиляции, кондиционирования и воздушн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отопления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дымоудаления при пожарах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Блоки, трубы или плиты шлакогипсовые или шлакобетонные с соединениями из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горючих материалов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бетонные или железобетонные с соединениями из негорючих материалов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Трубы керамиче</w:t>
            </w:r>
            <w:r>
              <w:rPr>
                <w:sz w:val="20"/>
              </w:rPr>
              <w:t>ские канализационные (по ГОСТ 286-82) диаметром 300-600 мм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28-41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Сплошной силикатный кирпич (внутри воздуховод затереть цементным раствором или оштукатурить)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Листовая сталь, соединенная плотным сварным швом; без изоляции; участки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духоводов с разъемными соединениями на приварных фланцах из стали с прокладк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 из негорючих материалов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с изоляцией цементным или асб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цементным раствором по стальной сетке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с изол</w:t>
            </w:r>
            <w:r>
              <w:rPr>
                <w:sz w:val="20"/>
              </w:rPr>
              <w:t>яцией огнезащитным вспуч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вающимся покрытием ВПМ-2(по ГОСТ 25131-82)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изоляцией фосфатным огнезащи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 составом (по ГОСТ 25665-83 или ГОСТ 23791-79)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  <w:lang w:val="en-US"/>
              </w:rPr>
              <w:t>*</w:t>
            </w:r>
            <w:r>
              <w:rPr>
                <w:sz w:val="20"/>
              </w:rPr>
              <w:t>9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с изоляцией негорючими или тру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ногорючими матами или плитами из мин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ральной ваты с покровным слоем из сте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лоткани или других материалов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с изоляцией перлитовой штукату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кой, плотностью не менее 400кг/м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9" w:type="dxa"/>
          </w:tcPr>
          <w:p w:rsidR="00000000" w:rsidRDefault="00A93781">
            <w:pPr>
              <w:pStyle w:val="a4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То же, с изоляцией вермикулитовой штук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туркой, плотностью не более 400кг/м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7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7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0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2" w:type="dxa"/>
          </w:tcPr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A93781">
            <w:pPr>
              <w:pStyle w:val="a4"/>
              <w:spacing w:after="0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sz w:val="20"/>
        </w:rPr>
      </w:pPr>
    </w:p>
    <w:p w:rsidR="00000000" w:rsidRDefault="00A93781">
      <w:pPr>
        <w:pStyle w:val="a4"/>
        <w:spacing w:after="0"/>
        <w:ind w:firstLine="284"/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z w:val="20"/>
          <w:vertAlign w:val="superscript"/>
        </w:rPr>
        <w:t>)</w:t>
      </w:r>
      <w:r>
        <w:rPr>
          <w:i/>
          <w:sz w:val="20"/>
        </w:rPr>
        <w:t>Примечание:</w:t>
      </w:r>
    </w:p>
    <w:p w:rsidR="00000000" w:rsidRDefault="00A93781">
      <w:pPr>
        <w:pStyle w:val="a4"/>
        <w:tabs>
          <w:tab w:val="num" w:pos="0"/>
        </w:tabs>
        <w:spacing w:after="0"/>
        <w:ind w:firstLine="284"/>
        <w:jc w:val="both"/>
        <w:rPr>
          <w:sz w:val="20"/>
        </w:rPr>
      </w:pPr>
      <w:r>
        <w:rPr>
          <w:sz w:val="20"/>
        </w:rPr>
        <w:t>1. Конструкцию “типа 5” следует применять:</w:t>
      </w:r>
    </w:p>
    <w:p w:rsidR="00000000" w:rsidRDefault="00A93781">
      <w:pPr>
        <w:pStyle w:val="a4"/>
        <w:tabs>
          <w:tab w:val="num" w:pos="0"/>
        </w:tabs>
        <w:spacing w:after="0"/>
        <w:ind w:firstLine="284"/>
        <w:jc w:val="both"/>
        <w:rPr>
          <w:sz w:val="20"/>
        </w:rPr>
      </w:pPr>
      <w:r>
        <w:rPr>
          <w:sz w:val="20"/>
        </w:rPr>
        <w:t>а) в производственных помещениях при отсутствии в них выделений горючей пыли;</w:t>
      </w:r>
    </w:p>
    <w:p w:rsidR="00000000" w:rsidRDefault="00A93781">
      <w:pPr>
        <w:pStyle w:val="a4"/>
        <w:tabs>
          <w:tab w:val="num" w:pos="0"/>
        </w:tabs>
        <w:spacing w:after="0"/>
        <w:ind w:firstLine="284"/>
        <w:jc w:val="both"/>
        <w:rPr>
          <w:sz w:val="20"/>
        </w:rPr>
      </w:pPr>
      <w:r>
        <w:rPr>
          <w:sz w:val="20"/>
        </w:rPr>
        <w:t>б) в помещениях категорий А, Б и В на расстоянии 1м и более от мест складирования горючих твердых и жидких веществ и на расстояние 2м и более от емкостей с легковосплам</w:t>
      </w:r>
      <w:r>
        <w:rPr>
          <w:sz w:val="20"/>
        </w:rPr>
        <w:t>е</w:t>
      </w:r>
      <w:r>
        <w:rPr>
          <w:sz w:val="20"/>
        </w:rPr>
        <w:t>няющимися жидкостями и горючими газами.</w:t>
      </w:r>
    </w:p>
    <w:p w:rsidR="00000000" w:rsidRDefault="00A93781">
      <w:pPr>
        <w:ind w:firstLine="284"/>
        <w:jc w:val="both"/>
      </w:pPr>
      <w:r>
        <w:t>2. В конструкции “типа 9”, при применен</w:t>
      </w:r>
      <w:r>
        <w:t>ии для систем дымоудаления, покровный слой изоляции принимать из стальных листов, вместо стеклоткани.</w:t>
      </w:r>
    </w:p>
    <w:p w:rsidR="00000000" w:rsidRDefault="00A93781">
      <w:pPr>
        <w:ind w:firstLine="284"/>
        <w:jc w:val="center"/>
      </w:pPr>
    </w:p>
    <w:p w:rsidR="00000000" w:rsidRDefault="00A93781">
      <w:pPr>
        <w:pStyle w:val="1"/>
        <w:ind w:firstLine="284"/>
        <w:rPr>
          <w:sz w:val="20"/>
        </w:rPr>
      </w:pPr>
      <w:r>
        <w:rPr>
          <w:sz w:val="20"/>
        </w:rPr>
        <w:t>Литература</w:t>
      </w:r>
    </w:p>
    <w:p w:rsidR="00000000" w:rsidRDefault="00A93781">
      <w:pPr>
        <w:ind w:firstLine="284"/>
        <w:jc w:val="both"/>
      </w:pPr>
    </w:p>
    <w:p w:rsidR="00000000" w:rsidRDefault="00A93781" w:rsidP="00A93781">
      <w:pPr>
        <w:numPr>
          <w:ilvl w:val="0"/>
          <w:numId w:val="8"/>
        </w:numPr>
        <w:ind w:left="0" w:firstLine="284"/>
        <w:jc w:val="both"/>
      </w:pPr>
      <w:r>
        <w:t>Пособие по проектированию огнестойких воздуховодов к СНиП П-33-75. Москва, Це</w:t>
      </w:r>
      <w:r>
        <w:t>н</w:t>
      </w:r>
      <w:r>
        <w:t>тральный институт типового проектирования, 1985 г.</w:t>
      </w:r>
    </w:p>
    <w:p w:rsidR="00000000" w:rsidRDefault="00A93781" w:rsidP="00A93781">
      <w:pPr>
        <w:numPr>
          <w:ilvl w:val="0"/>
          <w:numId w:val="8"/>
        </w:numPr>
        <w:ind w:left="0" w:firstLine="284"/>
        <w:jc w:val="both"/>
      </w:pPr>
      <w:r>
        <w:t>ЦНИИОМТП Госстроя СССР “Руководство по выполнению огнезащитных и теплоизоляционных штукатурок механизированным способом” Стройи</w:t>
      </w:r>
      <w:r>
        <w:t>з</w:t>
      </w:r>
      <w:r>
        <w:t>дат, Москва,1977 г.</w:t>
      </w:r>
    </w:p>
    <w:p w:rsidR="00000000" w:rsidRDefault="00A93781" w:rsidP="00A93781">
      <w:pPr>
        <w:numPr>
          <w:ilvl w:val="0"/>
          <w:numId w:val="8"/>
        </w:numPr>
        <w:ind w:left="0" w:firstLine="284"/>
        <w:jc w:val="both"/>
      </w:pPr>
      <w:r>
        <w:t>Бюллетень строительной техники №6, 1977 г., стр.14 и №3 1980 г.,стр.12.</w:t>
      </w:r>
    </w:p>
    <w:p w:rsidR="00000000" w:rsidRDefault="00A93781" w:rsidP="00A93781">
      <w:pPr>
        <w:numPr>
          <w:ilvl w:val="0"/>
          <w:numId w:val="8"/>
        </w:numPr>
        <w:ind w:left="0" w:firstLine="284"/>
        <w:jc w:val="both"/>
      </w:pPr>
      <w:r>
        <w:t>Пособие “Огнестойкие воздуховоды к СНиП 2.04.05-</w:t>
      </w:r>
      <w:r>
        <w:t>86, шифр Т-4466, арх.Т-1824.</w:t>
      </w:r>
    </w:p>
    <w:p w:rsidR="00000000" w:rsidRDefault="00A93781">
      <w:pPr>
        <w:tabs>
          <w:tab w:val="num" w:pos="360"/>
        </w:tabs>
        <w:ind w:firstLine="284"/>
        <w:jc w:val="both"/>
      </w:pPr>
    </w:p>
    <w:p w:rsidR="00000000" w:rsidRDefault="00A93781">
      <w:pPr>
        <w:ind w:firstLine="4820"/>
      </w:pPr>
      <w:r>
        <w:t>Копия.</w:t>
      </w:r>
    </w:p>
    <w:p w:rsidR="00000000" w:rsidRDefault="00A93781">
      <w:pPr>
        <w:pStyle w:val="3"/>
        <w:ind w:firstLine="4820"/>
        <w:rPr>
          <w:sz w:val="20"/>
        </w:rPr>
      </w:pPr>
      <w:r>
        <w:rPr>
          <w:sz w:val="20"/>
        </w:rPr>
        <w:t>Начальнику ГУПО МВД СССР</w:t>
      </w:r>
    </w:p>
    <w:p w:rsidR="00000000" w:rsidRDefault="00A93781">
      <w:pPr>
        <w:ind w:firstLine="4820"/>
      </w:pPr>
      <w:r>
        <w:t>т.Обухову Ф.В.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>23.07.84г.</w:t>
      </w:r>
    </w:p>
    <w:p w:rsidR="00000000" w:rsidRDefault="00A93781">
      <w:pPr>
        <w:ind w:firstLine="284"/>
        <w:jc w:val="both"/>
      </w:pPr>
      <w:r>
        <w:t>№ 1-1207</w:t>
      </w:r>
    </w:p>
    <w:p w:rsidR="00000000" w:rsidRDefault="00A93781">
      <w:pPr>
        <w:ind w:firstLine="284"/>
        <w:jc w:val="both"/>
      </w:pPr>
      <w:r>
        <w:t xml:space="preserve">В соответствии с Планом пересмотра действующих и разработки новых нормативных документов и государственных стандартов по проектированию и строительству на 1984 год </w:t>
      </w:r>
      <w:r>
        <w:rPr>
          <w:lang w:val="en-US"/>
        </w:rPr>
        <w:t>“</w:t>
      </w:r>
      <w:r>
        <w:t>(раздел 4</w:t>
      </w:r>
      <w:r>
        <w:rPr>
          <w:lang w:val="en-US"/>
        </w:rPr>
        <w:t xml:space="preserve">” </w:t>
      </w:r>
      <w:r>
        <w:t xml:space="preserve">Пособия, разрабатываемые к СНиП, п.25) институт </w:t>
      </w:r>
      <w:r>
        <w:rPr>
          <w:lang w:val="en-US"/>
        </w:rPr>
        <w:t>“</w:t>
      </w:r>
      <w:r>
        <w:t>Промстройпроект</w:t>
      </w:r>
      <w:r>
        <w:rPr>
          <w:lang w:val="en-US"/>
        </w:rPr>
        <w:t>”</w:t>
      </w:r>
      <w:r>
        <w:t xml:space="preserve"> Госстроя СССР, совместно с ГПИ-1 Минлегпр</w:t>
      </w:r>
      <w:r>
        <w:t>о</w:t>
      </w:r>
      <w:r>
        <w:t xml:space="preserve">ма СССР и ЦНИИСК им.Кучеренко Госстроя СССР разработал и утвердил </w:t>
      </w:r>
      <w:r>
        <w:rPr>
          <w:lang w:val="en-US"/>
        </w:rPr>
        <w:t>“</w:t>
      </w:r>
      <w:r>
        <w:t>Пособие по проектированию огнестойких воздуховодов</w:t>
      </w:r>
      <w:r>
        <w:rPr>
          <w:lang w:val="en-US"/>
        </w:rPr>
        <w:t>”</w:t>
      </w:r>
      <w:r>
        <w:t xml:space="preserve"> к главе СНи</w:t>
      </w:r>
      <w:r>
        <w:t xml:space="preserve">П П-33-75 </w:t>
      </w:r>
      <w:r>
        <w:rPr>
          <w:lang w:val="en-US"/>
        </w:rPr>
        <w:t>“</w:t>
      </w:r>
      <w:r>
        <w:t>Отопление, вентиляция и кондиционирование воздуха</w:t>
      </w:r>
      <w:r>
        <w:rPr>
          <w:lang w:val="en-US"/>
        </w:rPr>
        <w:t>”</w:t>
      </w:r>
      <w:r>
        <w:t>.</w:t>
      </w:r>
    </w:p>
    <w:p w:rsidR="00000000" w:rsidRDefault="00A93781">
      <w:pPr>
        <w:ind w:firstLine="284"/>
        <w:jc w:val="both"/>
      </w:pPr>
      <w:r>
        <w:t>Главтехнонормирование направляет для сведения указанное Пособие и просит дать указания подведомственным организациям использовать рекоме</w:t>
      </w:r>
      <w:r>
        <w:t>н</w:t>
      </w:r>
      <w:r>
        <w:t>дации по огнестойкости во</w:t>
      </w:r>
      <w:r>
        <w:t>з</w:t>
      </w:r>
      <w:r>
        <w:t>духоводов, приведенные в нем.</w:t>
      </w:r>
    </w:p>
    <w:p w:rsidR="00000000" w:rsidRDefault="00A93781">
      <w:pPr>
        <w:ind w:firstLine="284"/>
        <w:jc w:val="both"/>
      </w:pPr>
      <w:r>
        <w:t>Пособие будет издано массовым тиражем.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 xml:space="preserve">Приложение: Упомянутое в 1 экз. 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>Начальник Главтехнонормирования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>Госстроя СССР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Б.Я.Говоровский</w:t>
      </w:r>
    </w:p>
    <w:p w:rsidR="00000000" w:rsidRDefault="00A93781">
      <w:pPr>
        <w:pStyle w:val="BodyText2"/>
        <w:ind w:firstLine="284"/>
        <w:jc w:val="both"/>
        <w:rPr>
          <w:sz w:val="20"/>
        </w:rPr>
      </w:pPr>
      <w:r>
        <w:rPr>
          <w:sz w:val="20"/>
        </w:rPr>
        <w:t>Верно: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Б.В.Баркалов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361"/>
    <w:multiLevelType w:val="singleLevel"/>
    <w:tmpl w:val="BB80C986"/>
    <w:lvl w:ilvl="0">
      <w:start w:val="14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">
    <w:nsid w:val="25B12986"/>
    <w:multiLevelType w:val="singleLevel"/>
    <w:tmpl w:val="6DEA0DA8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">
    <w:nsid w:val="50447871"/>
    <w:multiLevelType w:val="singleLevel"/>
    <w:tmpl w:val="6DEA0DA8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3">
    <w:nsid w:val="5B3962E0"/>
    <w:multiLevelType w:val="singleLevel"/>
    <w:tmpl w:val="E35E2832"/>
    <w:lvl w:ilvl="0">
      <w:start w:val="5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4">
    <w:nsid w:val="7F9722F0"/>
    <w:multiLevelType w:val="singleLevel"/>
    <w:tmpl w:val="072EF2BC"/>
    <w:lvl w:ilvl="0">
      <w:start w:val="4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5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781"/>
    <w:rsid w:val="00A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spacing w:after="3600"/>
      <w:jc w:val="center"/>
    </w:pPr>
    <w:rPr>
      <w:sz w:val="24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BodyText2">
    <w:name w:val="Body Text 2"/>
    <w:basedOn w:val="a"/>
    <w:pPr>
      <w:ind w:firstLine="85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1858</Words>
  <Characters>10592</Characters>
  <Application>Microsoft Office Word</Application>
  <DocSecurity>0</DocSecurity>
  <Lines>88</Lines>
  <Paragraphs>24</Paragraphs>
  <ScaleCrop>false</ScaleCrop>
  <Company>Perm CSTI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ОРДЕНА ТРУДОВОГО КРАСНОГО ЗНАМЕНИ</dc:title>
  <dc:subject/>
  <dc:creator>CNTI</dc:creator>
  <cp:keywords/>
  <dc:description/>
  <cp:lastModifiedBy>Parhomeiai</cp:lastModifiedBy>
  <cp:revision>2</cp:revision>
  <dcterms:created xsi:type="dcterms:W3CDTF">2013-04-11T11:34:00Z</dcterms:created>
  <dcterms:modified xsi:type="dcterms:W3CDTF">2013-04-11T11:34:00Z</dcterms:modified>
</cp:coreProperties>
</file>