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81C70">
      <w:pPr>
        <w:jc w:val="center"/>
      </w:pPr>
      <w:bookmarkStart w:id="0" w:name="_GoBack"/>
      <w:bookmarkEnd w:id="0"/>
      <w:r>
        <w:t xml:space="preserve">Центральный научно исследовательский и проектно экспериментальный институт инженерного оборудования городов, жилых и общественных зданий (ЦНИИЭП инженерного оборудования) </w:t>
      </w:r>
      <w:proofErr w:type="spellStart"/>
      <w:r>
        <w:t>Госкомархитектуры</w:t>
      </w:r>
      <w:proofErr w:type="spellEnd"/>
    </w:p>
    <w:p w:rsidR="00000000" w:rsidRDefault="00B81C70">
      <w:pPr>
        <w:jc w:val="center"/>
      </w:pPr>
    </w:p>
    <w:p w:rsidR="00000000" w:rsidRDefault="00B81C70">
      <w:pPr>
        <w:jc w:val="center"/>
        <w:rPr>
          <w:b/>
        </w:rPr>
      </w:pPr>
      <w:r>
        <w:rPr>
          <w:b/>
          <w:caps/>
        </w:rPr>
        <w:t>Справочное пособие к</w:t>
      </w:r>
      <w:r>
        <w:rPr>
          <w:b/>
        </w:rPr>
        <w:t xml:space="preserve"> </w:t>
      </w:r>
      <w:proofErr w:type="spellStart"/>
      <w:r>
        <w:rPr>
          <w:b/>
        </w:rPr>
        <w:t>СНиП</w:t>
      </w:r>
      <w:proofErr w:type="spellEnd"/>
    </w:p>
    <w:p w:rsidR="00000000" w:rsidRDefault="00B81C70">
      <w:pPr>
        <w:jc w:val="center"/>
        <w:rPr>
          <w:b/>
        </w:rPr>
      </w:pPr>
    </w:p>
    <w:p w:rsidR="00000000" w:rsidRDefault="00B81C70">
      <w:pPr>
        <w:jc w:val="center"/>
        <w:rPr>
          <w:b/>
        </w:rPr>
      </w:pPr>
      <w:r>
        <w:rPr>
          <w:b/>
        </w:rPr>
        <w:t>ОТОПЛЕНИЕ И ВЕНТИЛЯЦИЯ ЖИЛЫХ ЗДАНИЙ</w:t>
      </w:r>
    </w:p>
    <w:p w:rsidR="00000000" w:rsidRDefault="00B81C70">
      <w:pPr>
        <w:jc w:val="center"/>
        <w:rPr>
          <w:b/>
        </w:rPr>
      </w:pPr>
    </w:p>
    <w:p w:rsidR="00000000" w:rsidRDefault="00B81C70">
      <w:pPr>
        <w:ind w:firstLine="284"/>
        <w:jc w:val="both"/>
        <w:rPr>
          <w:i/>
        </w:rPr>
      </w:pPr>
      <w:r>
        <w:rPr>
          <w:i/>
        </w:rPr>
        <w:t>Ре</w:t>
      </w:r>
      <w:r>
        <w:rPr>
          <w:i/>
        </w:rPr>
        <w:t>комендовано</w:t>
      </w:r>
      <w:r>
        <w:t xml:space="preserve"> </w:t>
      </w:r>
      <w:r>
        <w:rPr>
          <w:i/>
        </w:rPr>
        <w:t>к</w:t>
      </w:r>
      <w:r>
        <w:t xml:space="preserve"> </w:t>
      </w:r>
      <w:r>
        <w:rPr>
          <w:i/>
        </w:rPr>
        <w:t xml:space="preserve">изданию секцией отопления, вентиляции и кондиционирования воздуха Научно-технического совета ЦНИИЭП инженерного оборудования </w:t>
      </w:r>
      <w:proofErr w:type="spellStart"/>
      <w:r>
        <w:rPr>
          <w:i/>
        </w:rPr>
        <w:t>Госкомархитектуры</w:t>
      </w:r>
      <w:proofErr w:type="spellEnd"/>
    </w:p>
    <w:p w:rsidR="00000000" w:rsidRDefault="00B81C70">
      <w:pPr>
        <w:ind w:firstLine="284"/>
        <w:jc w:val="both"/>
        <w:rPr>
          <w:i/>
        </w:rPr>
      </w:pPr>
    </w:p>
    <w:p w:rsidR="00000000" w:rsidRDefault="00B81C70">
      <w:pPr>
        <w:ind w:firstLine="284"/>
        <w:jc w:val="both"/>
        <w:rPr>
          <w:i/>
        </w:rPr>
      </w:pPr>
    </w:p>
    <w:p w:rsidR="00000000" w:rsidRDefault="00B81C70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ПРЕДИСЛОВИЕ</w:t>
      </w:r>
    </w:p>
    <w:p w:rsidR="00000000" w:rsidRDefault="00B81C70"/>
    <w:p w:rsidR="00000000" w:rsidRDefault="00B81C70">
      <w:pPr>
        <w:ind w:firstLine="284"/>
        <w:jc w:val="both"/>
      </w:pPr>
      <w:r>
        <w:t xml:space="preserve">Пособие разработано в соответствии со </w:t>
      </w:r>
      <w:proofErr w:type="spellStart"/>
      <w:r>
        <w:t>СНиП</w:t>
      </w:r>
      <w:proofErr w:type="spellEnd"/>
      <w:r>
        <w:t xml:space="preserve"> 2.08.01—89 Жилые здания. Установленные </w:t>
      </w:r>
      <w:proofErr w:type="spellStart"/>
      <w:r>
        <w:t>СНиПом</w:t>
      </w:r>
      <w:proofErr w:type="spellEnd"/>
      <w:r>
        <w:t xml:space="preserve"> параметры микроклимата в помещениях жилых домов и воздушно-тепловой режим определяются не только работой систем отопления и вентиляции но и архитектурно-планировочными и конструктивными решениями этих зданий, а также теплофизическими характеристиками </w:t>
      </w:r>
      <w:r>
        <w:t>ограждающих конструкций. Кроме перечисленного, в жилых зданиях большое влияние на микроклимат оказывают особенности эксплуатации квартир жильцами. Совокупность этих факторов определяет эксплуатационные расходы теплоты и уровень воздушно-теплового комфорта. С учетом этого организация и рациональное поддержание воздушно-теплового режима в жилых зданиях является комплексной задачей. Однако действующая система нормативных документов, специализированная по отдельным разделам проектирования, не учитывает этой ком</w:t>
      </w:r>
      <w:r>
        <w:t>плексности.</w:t>
      </w:r>
    </w:p>
    <w:p w:rsidR="00000000" w:rsidRDefault="00B81C70">
      <w:pPr>
        <w:ind w:firstLine="284"/>
        <w:jc w:val="both"/>
      </w:pPr>
      <w:r>
        <w:t xml:space="preserve">Проектирование систем отопления и вентиляции осуществляется в соответствии с требованиями </w:t>
      </w:r>
      <w:proofErr w:type="spellStart"/>
      <w:r>
        <w:t>СНиП</w:t>
      </w:r>
      <w:proofErr w:type="spellEnd"/>
      <w:r>
        <w:t xml:space="preserve"> 2.04.05—86. При этом используются справочные пособия к </w:t>
      </w:r>
      <w:proofErr w:type="spellStart"/>
      <w:r>
        <w:t>СНиПу</w:t>
      </w:r>
      <w:proofErr w:type="spellEnd"/>
      <w:r>
        <w:t>, справочники, рекомендательная и другая литература, содержащая методы теплового и гидравлического расчета систем, указания по их конструированию, характеристики оборудования. Перечисленные документы, ориентированные на специалистов в области проектирования отопительно-вентиляционных систем, затрагивают далеко не весь комплекс вопросов обеспеч</w:t>
      </w:r>
      <w:r>
        <w:t>ения нормируемого воздушно-теплового режима в помещениях жилых зданий при минимальном расходе тепловой энергии. Поэтому при составлении настоящего Пособия основное внимание уделено вопросам, наиболее часто возникающим у проектировщиков и свидетельствующим не только о недостаточной четкости отдельных положений нормирования, но и отсутствии в ряде случаев понимания значимости различных элементов жилых зданий в их воздушно-тепловом режиме.</w:t>
      </w:r>
    </w:p>
    <w:p w:rsidR="00000000" w:rsidRDefault="00B81C70">
      <w:pPr>
        <w:ind w:firstLine="284"/>
        <w:jc w:val="both"/>
      </w:pPr>
      <w:r>
        <w:t xml:space="preserve">Пособие разработано ЦНИИЭП инженерного оборудования </w:t>
      </w:r>
      <w:proofErr w:type="spellStart"/>
      <w:r>
        <w:t>Госкомархитектуры</w:t>
      </w:r>
      <w:proofErr w:type="spellEnd"/>
      <w:r>
        <w:t xml:space="preserve"> (</w:t>
      </w:r>
      <w:r>
        <w:t xml:space="preserve">кандидаты </w:t>
      </w:r>
      <w:proofErr w:type="spellStart"/>
      <w:r>
        <w:t>техн</w:t>
      </w:r>
      <w:proofErr w:type="spellEnd"/>
      <w:r>
        <w:t xml:space="preserve">. наук А. З. </w:t>
      </w:r>
      <w:proofErr w:type="spellStart"/>
      <w:r>
        <w:t>Ивянский</w:t>
      </w:r>
      <w:proofErr w:type="spellEnd"/>
      <w:r>
        <w:t xml:space="preserve"> и </w:t>
      </w:r>
      <w:proofErr w:type="spellStart"/>
      <w:r>
        <w:t>И</w:t>
      </w:r>
      <w:proofErr w:type="spellEnd"/>
      <w:r>
        <w:t xml:space="preserve">. Б. </w:t>
      </w:r>
      <w:proofErr w:type="spellStart"/>
      <w:r>
        <w:t>Павлинова</w:t>
      </w:r>
      <w:proofErr w:type="spellEnd"/>
      <w:r>
        <w:t>).</w:t>
      </w:r>
    </w:p>
    <w:p w:rsidR="00000000" w:rsidRDefault="00B81C70">
      <w:pPr>
        <w:ind w:firstLine="284"/>
        <w:jc w:val="both"/>
      </w:pPr>
    </w:p>
    <w:p w:rsidR="00000000" w:rsidRDefault="00B81C70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КОНСТРУКТИВНО-ПЛАНИРОВОЧНЫЕ РЕШЕНИЯ ЖИЛЫХ ЗДАНИЙ</w:t>
      </w:r>
    </w:p>
    <w:p w:rsidR="00000000" w:rsidRDefault="00B81C70"/>
    <w:p w:rsidR="00000000" w:rsidRDefault="00B81C70">
      <w:pPr>
        <w:ind w:firstLine="284"/>
        <w:jc w:val="both"/>
      </w:pPr>
      <w:r>
        <w:rPr>
          <w:b/>
        </w:rPr>
        <w:t>1.1.</w:t>
      </w:r>
      <w:r>
        <w:t xml:space="preserve"> Воздушно-тепловой режим в помещениях является одним из основных факторов, определяющих уровень комфорта жилых зданий. Неудовлетворительный микроклимат делает их непригодными для проживания.</w:t>
      </w:r>
    </w:p>
    <w:p w:rsidR="00000000" w:rsidRDefault="00B81C70">
      <w:pPr>
        <w:ind w:firstLine="284"/>
        <w:jc w:val="both"/>
      </w:pPr>
      <w:r>
        <w:rPr>
          <w:b/>
        </w:rPr>
        <w:t>1.2.</w:t>
      </w:r>
      <w:r>
        <w:t xml:space="preserve"> Оптимизация воздушно-теплового режима квартир требует их изоляции от смежных помещений с целью максимального сокращения количества перетекающего воздуха.</w:t>
      </w:r>
    </w:p>
    <w:p w:rsidR="00000000" w:rsidRDefault="00B81C70">
      <w:pPr>
        <w:ind w:firstLine="284"/>
        <w:jc w:val="both"/>
      </w:pPr>
      <w:r>
        <w:t>Перетекание воздуха в квартиры из смежных кварти</w:t>
      </w:r>
      <w:r>
        <w:t xml:space="preserve">р и (или) лестничной клетки является одной из основных причин, снижающих эффективность работы системы вентиляции и приводящих к неудовлетворительному состоянию воздушной среды в квартирах. С учетом этого в строительной части проекта жилого здания должны быть предусмотрены планировочные, конструктивные и технологические решения, максимально сокращающие возможность перетекания воздуха через входные двери в квартиры, места </w:t>
      </w:r>
      <w:proofErr w:type="spellStart"/>
      <w:r>
        <w:t>сопряжений</w:t>
      </w:r>
      <w:proofErr w:type="spellEnd"/>
      <w:r>
        <w:t xml:space="preserve"> ограждающих конструкций, прохождения через них инженерных коммуникаций и др.</w:t>
      </w:r>
    </w:p>
    <w:p w:rsidR="00000000" w:rsidRDefault="00B81C70">
      <w:pPr>
        <w:ind w:firstLine="284"/>
        <w:jc w:val="both"/>
      </w:pPr>
      <w:r>
        <w:rPr>
          <w:b/>
        </w:rPr>
        <w:t>1.3.</w:t>
      </w:r>
      <w:r>
        <w:t xml:space="preserve"> Как показывает опыт эксплуатации современных жилых зданий массовой застройки, одной из самых распространенных причин </w:t>
      </w:r>
      <w:proofErr w:type="spellStart"/>
      <w:r>
        <w:t>недогрева</w:t>
      </w:r>
      <w:proofErr w:type="spellEnd"/>
      <w:r>
        <w:t xml:space="preserve"> помещений при расчетной теплоотдаче системы отопления является фактическое занижение сопротивления </w:t>
      </w:r>
      <w:proofErr w:type="spellStart"/>
      <w:r>
        <w:t>воздухопроницанию</w:t>
      </w:r>
      <w:proofErr w:type="spellEnd"/>
      <w:r>
        <w:t xml:space="preserve"> оконного заполнения против регламентированного </w:t>
      </w:r>
      <w:proofErr w:type="spellStart"/>
      <w:r>
        <w:t>СНиП</w:t>
      </w:r>
      <w:proofErr w:type="spellEnd"/>
      <w:r>
        <w:t xml:space="preserve"> </w:t>
      </w:r>
      <w:r>
        <w:rPr>
          <w:lang w:val="en-US"/>
        </w:rPr>
        <w:t>II</w:t>
      </w:r>
      <w:r>
        <w:t xml:space="preserve">-3-79** для предусмотренной проектом конструкции окон. Это занижение имеет место вследствие низкого качества </w:t>
      </w:r>
      <w:r>
        <w:lastRenderedPageBreak/>
        <w:t>изготовления оконных блоков; некачественной заделки оконных блоков в стеновую панель; отсутствия упл</w:t>
      </w:r>
      <w:r>
        <w:t>отняющих притворы прокладок или их несоответствия проектным и т. п.</w:t>
      </w:r>
    </w:p>
    <w:p w:rsidR="00000000" w:rsidRDefault="00B81C70">
      <w:pPr>
        <w:ind w:firstLine="284"/>
        <w:jc w:val="both"/>
      </w:pPr>
      <w:r>
        <w:t xml:space="preserve">Для исключения </w:t>
      </w:r>
      <w:proofErr w:type="spellStart"/>
      <w:r>
        <w:t>недогрева</w:t>
      </w:r>
      <w:proofErr w:type="spellEnd"/>
      <w:r>
        <w:t xml:space="preserve"> помещений жилых домов при низких температурах наружного воздуха в результате отмеченного выше фактора рекомендуется проводить выборочные натурные испытания окон с целью определения их фактического сопротивления </w:t>
      </w:r>
      <w:proofErr w:type="spellStart"/>
      <w:r>
        <w:t>воздухопроницанию</w:t>
      </w:r>
      <w:proofErr w:type="spellEnd"/>
      <w:r>
        <w:t>, характерного для конкретного района застройки, например по методике натурных испытаний воздухообмена жилых домов ЦНИИЭП инженерного оборудования.</w:t>
      </w:r>
    </w:p>
    <w:p w:rsidR="00000000" w:rsidRDefault="00B81C70">
      <w:pPr>
        <w:ind w:firstLine="284"/>
        <w:jc w:val="both"/>
      </w:pPr>
      <w:r>
        <w:rPr>
          <w:b/>
        </w:rPr>
        <w:t>1.4.</w:t>
      </w:r>
      <w:r>
        <w:t xml:space="preserve"> Размеры световых проемов определяют не</w:t>
      </w:r>
      <w:r>
        <w:t xml:space="preserve"> только расчетные </w:t>
      </w:r>
      <w:proofErr w:type="spellStart"/>
      <w:r>
        <w:t>теплопотери</w:t>
      </w:r>
      <w:proofErr w:type="spellEnd"/>
      <w:r>
        <w:t xml:space="preserve"> помещений, но и тепловой режим в них за счет отрицательной радиации и ниспадающих потоков холодного воздуха в зимний период и перегрева — в летний. Поэтому следует стремиться к минимально допустимым размерам световых проемов из условий естественного освещения, но не более чем при соотношении их площади к площади пола соответствующих помещений 1:5,5.</w:t>
      </w:r>
    </w:p>
    <w:p w:rsidR="00000000" w:rsidRDefault="00B81C70">
      <w:pPr>
        <w:ind w:firstLine="284"/>
        <w:jc w:val="both"/>
      </w:pPr>
      <w:r>
        <w:rPr>
          <w:b/>
        </w:rPr>
        <w:t>1.5.</w:t>
      </w:r>
      <w:r>
        <w:t xml:space="preserve"> При выборе конструктивного решения чердаков преимущество следует отдавать посекционным теплым чердакам, используемым в качест</w:t>
      </w:r>
      <w:r>
        <w:t>ве камеры статического давления системы естественной вытяжной вентиляции. Открытые чердаки с выпуском в них вытяжного воздуха требуют дальнейших исследований и конструктивного совершенствования, и для использования в массовом жилищном строительстве в настоящее время не рекомендуются. В зданиях высотой менее 5 этажей, в которых устройство теплого чердака нецелесообразно, вытяжные каналы должны непосредственно выходить в шахты, выводимые выше уровня кровли.</w:t>
      </w:r>
    </w:p>
    <w:p w:rsidR="00000000" w:rsidRDefault="00B81C70">
      <w:pPr>
        <w:ind w:firstLine="284"/>
        <w:jc w:val="both"/>
      </w:pPr>
      <w:r>
        <w:rPr>
          <w:b/>
        </w:rPr>
        <w:t>1.6.</w:t>
      </w:r>
      <w:r>
        <w:t xml:space="preserve"> Зонирование квартир сопряжено с увеличением кол</w:t>
      </w:r>
      <w:r>
        <w:t>ичества инженерных коммуникаций, что приводит к возрастанию материалоемкости и эксплуатационных затрат. Наличие вытяжных каналов в разных местах квартиры существенно снижает надежность и эффективность системы естественной вытяжной вентиляции.</w:t>
      </w:r>
    </w:p>
    <w:p w:rsidR="00000000" w:rsidRDefault="00B81C70">
      <w:pPr>
        <w:ind w:firstLine="284"/>
        <w:jc w:val="both"/>
      </w:pPr>
      <w:r>
        <w:rPr>
          <w:b/>
        </w:rPr>
        <w:t>1.7.</w:t>
      </w:r>
      <w:r>
        <w:t xml:space="preserve"> Примыкание санитарных узлов и </w:t>
      </w:r>
      <w:proofErr w:type="spellStart"/>
      <w:r>
        <w:t>вентблоков</w:t>
      </w:r>
      <w:proofErr w:type="spellEnd"/>
      <w:r>
        <w:t xml:space="preserve"> к наружным стенам квартир затрудняет обеспечение удовлетворительного влажностного режима в санитарных помещениях и требует специальных решений по повышению температуры их ограждений, которые подлежат разработке и проверке в</w:t>
      </w:r>
      <w:r>
        <w:t xml:space="preserve"> массовом строительстве.</w:t>
      </w:r>
    </w:p>
    <w:p w:rsidR="00000000" w:rsidRDefault="00B81C70">
      <w:pPr>
        <w:ind w:firstLine="284"/>
        <w:jc w:val="both"/>
      </w:pPr>
      <w:r>
        <w:rPr>
          <w:b/>
        </w:rPr>
        <w:t>1.8.</w:t>
      </w:r>
      <w:r>
        <w:t xml:space="preserve"> Планировочные решения квартир с точки зрения организации вентиляции преимущественно должны быть направлены на исключение горизонтальных воздуховодов в пределах квартиры; на обеспечение непосредственного поступления воздуха из кухни, ванной и туалета в </w:t>
      </w:r>
      <w:proofErr w:type="spellStart"/>
      <w:r>
        <w:t>вентблок</w:t>
      </w:r>
      <w:proofErr w:type="spellEnd"/>
      <w:r>
        <w:t xml:space="preserve">; на обеспечение доступа к </w:t>
      </w:r>
      <w:proofErr w:type="spellStart"/>
      <w:r>
        <w:t>вентблокам</w:t>
      </w:r>
      <w:proofErr w:type="spellEnd"/>
      <w:r>
        <w:t xml:space="preserve"> при монтаже, а также для ревизии и герметизации стыков при эксплуатации.</w:t>
      </w:r>
    </w:p>
    <w:p w:rsidR="00000000" w:rsidRDefault="00B81C70">
      <w:pPr>
        <w:ind w:firstLine="284"/>
        <w:jc w:val="both"/>
      </w:pPr>
      <w:r>
        <w:rPr>
          <w:b/>
        </w:rPr>
        <w:t>1.9.</w:t>
      </w:r>
      <w:r>
        <w:t xml:space="preserve"> В подвалах и цокольных этажах квартирных домов и общежитий с системами отопления, подключаемыми к сетям це</w:t>
      </w:r>
      <w:r>
        <w:t xml:space="preserve">нтрализованного теплоснабжения, при расчетных </w:t>
      </w:r>
      <w:proofErr w:type="spellStart"/>
      <w:r>
        <w:t>теплопотерях</w:t>
      </w:r>
      <w:proofErr w:type="spellEnd"/>
      <w:r>
        <w:t xml:space="preserve"> зданий за отопительный период 1000 </w:t>
      </w:r>
      <w:proofErr w:type="spellStart"/>
      <w:r>
        <w:t>ГДж</w:t>
      </w:r>
      <w:proofErr w:type="spellEnd"/>
      <w:r>
        <w:t xml:space="preserve"> и более следует предусматривать помещение для размещения индивидуального теплового пункта (ИТП).</w:t>
      </w:r>
    </w:p>
    <w:p w:rsidR="00000000" w:rsidRDefault="00B81C70">
      <w:pPr>
        <w:ind w:firstLine="284"/>
        <w:jc w:val="both"/>
      </w:pPr>
      <w:r>
        <w:t>Помещение ИТП должно иметь высоту (в чистоте) не менее 2,2 м, в местах прохода к нему обслуживающего персонала — не менее 1,9 м; должно быть отделено от других помещений, иметь открывающуюся наружу дверь, освещение. Пол должен иметь бетонное или плиточное покрытие с уклоном 0,005. В полу ИТП следует устанавливать тр</w:t>
      </w:r>
      <w:r>
        <w:t>ап, а при невозможности самотечного отвода воды устраивать водосборный приямок размерами 0,5</w:t>
      </w:r>
      <w:r>
        <w:sym w:font="Symbol" w:char="F0B4"/>
      </w:r>
      <w:r>
        <w:t>0,5</w:t>
      </w:r>
      <w:r>
        <w:sym w:font="Symbol" w:char="F0B4"/>
      </w:r>
      <w:r>
        <w:t>0,8 м, перекрываемый съемной решеткой. Для откачки воды из приямка в систему канализации следует устанавливать дренажный насос.</w:t>
      </w:r>
    </w:p>
    <w:p w:rsidR="00000000" w:rsidRDefault="00B81C70">
      <w:pPr>
        <w:ind w:firstLine="284"/>
        <w:jc w:val="both"/>
      </w:pPr>
      <w:r>
        <w:t xml:space="preserve">Расчетные </w:t>
      </w:r>
      <w:proofErr w:type="spellStart"/>
      <w:r>
        <w:t>теплопотери</w:t>
      </w:r>
      <w:proofErr w:type="spellEnd"/>
      <w:r>
        <w:t xml:space="preserve"> здания за отопительный период рекомендуется определять в соответствии с разд. 2 настоящего Пособия.</w:t>
      </w:r>
    </w:p>
    <w:p w:rsidR="00000000" w:rsidRDefault="00B81C70">
      <w:pPr>
        <w:ind w:firstLine="284"/>
        <w:jc w:val="both"/>
      </w:pPr>
      <w:r>
        <w:rPr>
          <w:b/>
        </w:rPr>
        <w:t>1.10.</w:t>
      </w:r>
      <w:r>
        <w:t xml:space="preserve"> Применение кухонь-ниш с механической вытяжной вентиляцией допускается только в жилых зданиях, все квартиры которых оборудованы механической вытяжкой.</w:t>
      </w:r>
    </w:p>
    <w:p w:rsidR="00000000" w:rsidRDefault="00B81C70">
      <w:pPr>
        <w:ind w:firstLine="284"/>
        <w:jc w:val="both"/>
      </w:pPr>
      <w:r>
        <w:rPr>
          <w:b/>
        </w:rPr>
        <w:t>1.11.</w:t>
      </w:r>
      <w:r>
        <w:t xml:space="preserve"> Уст</w:t>
      </w:r>
      <w:r>
        <w:t>ройство лоджий с поэтажными выходами из лестничной клетки сопряжено с существенным дополнительным расходом теплоты и не рекомендуется, если это не связано с противопожарными требованиями.</w:t>
      </w:r>
    </w:p>
    <w:p w:rsidR="00000000" w:rsidRDefault="00B81C70">
      <w:pPr>
        <w:ind w:firstLine="284"/>
        <w:jc w:val="both"/>
      </w:pPr>
      <w:r>
        <w:rPr>
          <w:b/>
        </w:rPr>
        <w:t>1.12.</w:t>
      </w:r>
      <w:r>
        <w:t xml:space="preserve"> При технико-экономическом обосновании конструктивного решения чердака, кроме традиционных факторов, следует учитывать также затраты на изоляцию размещенных в них инженерных коммуникаций и на их эксплуатацию.</w:t>
      </w:r>
    </w:p>
    <w:p w:rsidR="00000000" w:rsidRDefault="00B81C70">
      <w:pPr>
        <w:ind w:firstLine="284"/>
        <w:jc w:val="both"/>
      </w:pPr>
    </w:p>
    <w:p w:rsidR="00000000" w:rsidRDefault="00B81C70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РАСЧЕТ ТЕПЛОПОТЕРЬ</w:t>
      </w:r>
    </w:p>
    <w:p w:rsidR="00000000" w:rsidRDefault="00B81C70"/>
    <w:p w:rsidR="00000000" w:rsidRDefault="00B81C70">
      <w:pPr>
        <w:ind w:firstLine="284"/>
        <w:jc w:val="both"/>
      </w:pPr>
      <w:r>
        <w:rPr>
          <w:b/>
        </w:rPr>
        <w:t>2.1.</w:t>
      </w:r>
      <w:r>
        <w:t xml:space="preserve"> Расчетные потери теплоты, возмещаемые отоплением, следует определять из теплового</w:t>
      </w:r>
      <w:r>
        <w:t xml:space="preserve"> баланса. Тепловой баланс жилого здания в целом и каждого отапливаемого помещения находят из уравнения</w:t>
      </w:r>
    </w:p>
    <w:p w:rsidR="00000000" w:rsidRDefault="00B81C70">
      <w:pPr>
        <w:ind w:firstLine="284"/>
        <w:jc w:val="both"/>
      </w:pPr>
    </w:p>
    <w:p w:rsidR="00000000" w:rsidRDefault="00B81C70">
      <w:pPr>
        <w:ind w:firstLine="284"/>
        <w:jc w:val="right"/>
      </w:pPr>
      <w:proofErr w:type="spellStart"/>
      <w:r>
        <w:rPr>
          <w:i/>
          <w:lang w:val="en-US"/>
        </w:rPr>
        <w:t>Q</w:t>
      </w:r>
      <w:r>
        <w:rPr>
          <w:i/>
          <w:vertAlign w:val="subscript"/>
        </w:rPr>
        <w:t>тр</w:t>
      </w:r>
      <w:proofErr w:type="spellEnd"/>
      <w:r>
        <w:t xml:space="preserve"> + </w:t>
      </w:r>
      <w:proofErr w:type="spellStart"/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n</w:t>
      </w:r>
      <w:proofErr w:type="spellEnd"/>
      <w:r>
        <w:t xml:space="preserve"> + </w:t>
      </w:r>
      <w:proofErr w:type="spellStart"/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c.</w:t>
      </w:r>
      <w:r>
        <w:rPr>
          <w:i/>
          <w:vertAlign w:val="subscript"/>
        </w:rPr>
        <w:t>о</w:t>
      </w:r>
      <w:proofErr w:type="spellEnd"/>
      <w:r>
        <w:t xml:space="preserve"> + </w:t>
      </w:r>
      <w:proofErr w:type="spellStart"/>
      <w:r>
        <w:rPr>
          <w:i/>
          <w:lang w:val="en-US"/>
        </w:rPr>
        <w:t>Q</w:t>
      </w:r>
      <w:r>
        <w:rPr>
          <w:i/>
          <w:vertAlign w:val="subscript"/>
        </w:rPr>
        <w:t>инс</w:t>
      </w:r>
      <w:proofErr w:type="spellEnd"/>
      <w:r>
        <w:t xml:space="preserve"> + </w:t>
      </w:r>
      <w:proofErr w:type="spellStart"/>
      <w:r>
        <w:rPr>
          <w:i/>
          <w:lang w:val="en-US"/>
        </w:rPr>
        <w:t>Q</w:t>
      </w:r>
      <w:r>
        <w:rPr>
          <w:i/>
          <w:vertAlign w:val="subscript"/>
        </w:rPr>
        <w:t>быт</w:t>
      </w:r>
      <w:proofErr w:type="spellEnd"/>
      <w:r>
        <w:t xml:space="preserve"> </w:t>
      </w:r>
      <w:r>
        <w:rPr>
          <w:i/>
        </w:rPr>
        <w:t>=</w:t>
      </w:r>
      <w:r>
        <w:t xml:space="preserve"> </w:t>
      </w:r>
      <w:r>
        <w:rPr>
          <w:lang w:val="en-US"/>
        </w:rPr>
        <w:t>0</w:t>
      </w:r>
      <w:r>
        <w:t>,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t>(1)</w:t>
      </w:r>
    </w:p>
    <w:p w:rsidR="00000000" w:rsidRDefault="00B81C70">
      <w:pPr>
        <w:ind w:firstLine="284"/>
        <w:jc w:val="right"/>
      </w:pPr>
    </w:p>
    <w:p w:rsidR="00000000" w:rsidRDefault="00B81C70">
      <w:pPr>
        <w:ind w:firstLine="284"/>
        <w:jc w:val="both"/>
      </w:pPr>
      <w:r>
        <w:t>где</w:t>
      </w:r>
      <w:r>
        <w:rPr>
          <w:lang w:val="en-US"/>
        </w:rPr>
        <w:t xml:space="preserve"> </w:t>
      </w:r>
      <w:proofErr w:type="spellStart"/>
      <w:r>
        <w:rPr>
          <w:i/>
          <w:lang w:val="en-US"/>
        </w:rPr>
        <w:t>Q</w:t>
      </w:r>
      <w:r>
        <w:rPr>
          <w:i/>
          <w:vertAlign w:val="subscript"/>
        </w:rPr>
        <w:t>тр</w:t>
      </w:r>
      <w:proofErr w:type="spellEnd"/>
      <w:r>
        <w:rPr>
          <w:i/>
        </w:rPr>
        <w:t xml:space="preserve"> —</w:t>
      </w:r>
      <w:r>
        <w:t xml:space="preserve"> трансмиссионные потери теплоты через ограждения здания (помещения); </w:t>
      </w:r>
      <w:proofErr w:type="spellStart"/>
      <w:r>
        <w:rPr>
          <w:i/>
          <w:lang w:val="en-US"/>
        </w:rPr>
        <w:t>Q</w:t>
      </w:r>
      <w:r>
        <w:rPr>
          <w:i/>
          <w:vertAlign w:val="subscript"/>
        </w:rPr>
        <w:t>в</w:t>
      </w:r>
      <w:proofErr w:type="spellEnd"/>
      <w:r>
        <w:rPr>
          <w:lang w:val="en-US"/>
        </w:rPr>
        <w:t xml:space="preserve"> </w:t>
      </w:r>
      <w:r>
        <w:t xml:space="preserve">— затраты теплоты на нагрев наружного воздуха в объеме инфильтрации или санитарной нормы; </w:t>
      </w:r>
      <w:proofErr w:type="spellStart"/>
      <w:r>
        <w:rPr>
          <w:i/>
          <w:lang w:val="en-US"/>
        </w:rPr>
        <w:t>Q</w:t>
      </w:r>
      <w:r>
        <w:rPr>
          <w:i/>
          <w:vertAlign w:val="subscript"/>
        </w:rPr>
        <w:t>с.о</w:t>
      </w:r>
      <w:proofErr w:type="spellEnd"/>
      <w:r>
        <w:t xml:space="preserve"> —тепловая мощность системы отопления, которая является искомой величиной при определении теплового баланса</w:t>
      </w:r>
      <w:r>
        <w:rPr>
          <w:lang w:val="en-US"/>
        </w:rPr>
        <w:t xml:space="preserve">; </w:t>
      </w:r>
      <w:proofErr w:type="spellStart"/>
      <w:r>
        <w:rPr>
          <w:i/>
          <w:lang w:val="en-US"/>
        </w:rPr>
        <w:t>Q</w:t>
      </w:r>
      <w:r>
        <w:rPr>
          <w:i/>
          <w:vertAlign w:val="subscript"/>
        </w:rPr>
        <w:t>инс</w:t>
      </w:r>
      <w:proofErr w:type="spellEnd"/>
      <w:r>
        <w:t xml:space="preserve"> — теплопоступления за счет солнечной радиации; </w:t>
      </w:r>
      <w:proofErr w:type="spellStart"/>
      <w:r>
        <w:rPr>
          <w:i/>
          <w:lang w:val="en-US"/>
        </w:rPr>
        <w:t>Q</w:t>
      </w:r>
      <w:r>
        <w:rPr>
          <w:i/>
          <w:vertAlign w:val="subscript"/>
        </w:rPr>
        <w:t>быт</w:t>
      </w:r>
      <w:proofErr w:type="spellEnd"/>
      <w:r>
        <w:t xml:space="preserve"> — суммарные теплопоступле</w:t>
      </w:r>
      <w:r>
        <w:t>ния за счет всех внутренних источников теплоты, за исключением системы отопления (к бытовым условно относятся тепловыделения от электробытовых и осветительных приборов, кухонных плит, разводки трубопроводов горячего водоснабжения и непосредственно потребляемой горячей воды, людей, находящихся в квартире).</w:t>
      </w:r>
    </w:p>
    <w:p w:rsidR="00000000" w:rsidRDefault="00B81C70">
      <w:pPr>
        <w:ind w:firstLine="284"/>
        <w:jc w:val="both"/>
      </w:pPr>
      <w:r>
        <w:rPr>
          <w:b/>
        </w:rPr>
        <w:t>2.2.</w:t>
      </w:r>
      <w:r>
        <w:t xml:space="preserve"> Расчет трансмиссионных </w:t>
      </w:r>
      <w:proofErr w:type="spellStart"/>
      <w:r>
        <w:t>теплопотерь</w:t>
      </w:r>
      <w:proofErr w:type="spellEnd"/>
      <w:r>
        <w:t xml:space="preserve"> через наружные ограждающие конструкции производится по прил. 8, </w:t>
      </w:r>
      <w:proofErr w:type="spellStart"/>
      <w:r>
        <w:t>СНиП</w:t>
      </w:r>
      <w:proofErr w:type="spellEnd"/>
      <w:r>
        <w:t xml:space="preserve"> 2.04.05—86. При этом расчетные температуры воздуха помещений </w:t>
      </w:r>
      <w:proofErr w:type="spellStart"/>
      <w:r>
        <w:rPr>
          <w:lang w:val="en-US"/>
        </w:rPr>
        <w:t>t</w:t>
      </w:r>
      <w:r>
        <w:rPr>
          <w:vertAlign w:val="subscript"/>
        </w:rPr>
        <w:t>расч</w:t>
      </w:r>
      <w:proofErr w:type="spellEnd"/>
      <w:r>
        <w:t xml:space="preserve"> принимаются в соответствии со</w:t>
      </w:r>
      <w:r>
        <w:t xml:space="preserve"> </w:t>
      </w:r>
      <w:proofErr w:type="spellStart"/>
      <w:r>
        <w:t>СНиП</w:t>
      </w:r>
      <w:proofErr w:type="spellEnd"/>
      <w:r>
        <w:t xml:space="preserve"> 2.08.01—89 Жилые здания.</w:t>
      </w:r>
    </w:p>
    <w:p w:rsidR="00000000" w:rsidRDefault="00B81C70">
      <w:pPr>
        <w:ind w:firstLine="284"/>
        <w:jc w:val="both"/>
      </w:pPr>
      <w:r>
        <w:rPr>
          <w:b/>
        </w:rPr>
        <w:t>2.3.</w:t>
      </w:r>
      <w:r>
        <w:t xml:space="preserve"> При расчете трансмиссионных </w:t>
      </w:r>
      <w:proofErr w:type="spellStart"/>
      <w:r>
        <w:t>теплопотерь</w:t>
      </w:r>
      <w:proofErr w:type="spellEnd"/>
      <w:r>
        <w:t xml:space="preserve"> через внутренние ограждения жилых домов следует учитывать теплопередачу:</w:t>
      </w:r>
    </w:p>
    <w:p w:rsidR="00000000" w:rsidRDefault="00B81C70">
      <w:pPr>
        <w:ind w:firstLine="284"/>
        <w:jc w:val="both"/>
      </w:pPr>
      <w:r>
        <w:t xml:space="preserve">а) через чердачные перекрытия в домах с теплым чердаком; </w:t>
      </w:r>
    </w:p>
    <w:p w:rsidR="00000000" w:rsidRDefault="00B81C70">
      <w:pPr>
        <w:ind w:firstLine="284"/>
        <w:jc w:val="both"/>
      </w:pPr>
      <w:r>
        <w:t xml:space="preserve">б) через перекрытия над </w:t>
      </w:r>
      <w:proofErr w:type="spellStart"/>
      <w:r>
        <w:t>неотапливаемыми</w:t>
      </w:r>
      <w:proofErr w:type="spellEnd"/>
      <w:r>
        <w:t xml:space="preserve"> подвалами и подпольями (в том числе при размещении в них теплопроводов);</w:t>
      </w:r>
    </w:p>
    <w:p w:rsidR="00000000" w:rsidRDefault="00B81C70">
      <w:pPr>
        <w:ind w:firstLine="284"/>
        <w:jc w:val="both"/>
      </w:pPr>
      <w:r>
        <w:t>в) через внутренние ограждения лестничной клетки (в том числе незадымляемой).</w:t>
      </w:r>
    </w:p>
    <w:p w:rsidR="00000000" w:rsidRDefault="00B81C70">
      <w:pPr>
        <w:ind w:firstLine="284"/>
        <w:jc w:val="both"/>
      </w:pPr>
      <w:r>
        <w:t xml:space="preserve">При этом коэффициент </w:t>
      </w:r>
      <w:proofErr w:type="spellStart"/>
      <w:r>
        <w:rPr>
          <w:i/>
        </w:rPr>
        <w:t>п</w:t>
      </w:r>
      <w:proofErr w:type="spellEnd"/>
      <w:r>
        <w:t xml:space="preserve"> принимают равным 1. </w:t>
      </w:r>
    </w:p>
    <w:p w:rsidR="00000000" w:rsidRDefault="00B81C70">
      <w:pPr>
        <w:ind w:firstLine="284"/>
        <w:jc w:val="both"/>
      </w:pPr>
      <w:r>
        <w:t>Температуру воздуха в подвалах (подпольях) и теплых чердаках следует о</w:t>
      </w:r>
      <w:r>
        <w:t>пределять из теплового баланса этих помещений (при составлении теплового баланса теплого чердака могут быть использованы Рекомендации по проектированию железобетонных крыш с теплым чердаком для многоэтажных жилых зданий/ЦНИИЭП жилища, 1986).</w:t>
      </w:r>
    </w:p>
    <w:p w:rsidR="00000000" w:rsidRDefault="00B81C70">
      <w:pPr>
        <w:ind w:firstLine="284"/>
        <w:jc w:val="both"/>
      </w:pPr>
      <w:r>
        <w:t xml:space="preserve">После определения температуры воздуха по </w:t>
      </w:r>
      <w:proofErr w:type="spellStart"/>
      <w:r>
        <w:t>пп</w:t>
      </w:r>
      <w:proofErr w:type="spellEnd"/>
      <w:r>
        <w:t xml:space="preserve">. </w:t>
      </w:r>
      <w:r>
        <w:rPr>
          <w:i/>
        </w:rPr>
        <w:t>а</w:t>
      </w:r>
      <w:r>
        <w:t xml:space="preserve"> и </w:t>
      </w:r>
      <w:r>
        <w:rPr>
          <w:i/>
        </w:rPr>
        <w:t>б</w:t>
      </w:r>
      <w:r>
        <w:t xml:space="preserve"> при заданных строительных конструкциях следует проверить соблюдение нормируемой величины </w:t>
      </w:r>
      <w:r>
        <w:sym w:font="Symbol" w:char="F044"/>
      </w:r>
      <w:proofErr w:type="spellStart"/>
      <w:r>
        <w:rPr>
          <w:lang w:val="en-US"/>
        </w:rPr>
        <w:t>t</w:t>
      </w:r>
      <w:r>
        <w:rPr>
          <w:vertAlign w:val="subscript"/>
        </w:rPr>
        <w:t>н</w:t>
      </w:r>
      <w:proofErr w:type="spellEnd"/>
      <w:r>
        <w:rPr>
          <w:lang w:val="en-US"/>
        </w:rPr>
        <w:t xml:space="preserve"> </w:t>
      </w:r>
      <w:r>
        <w:t xml:space="preserve">по табл. 2 </w:t>
      </w:r>
      <w:proofErr w:type="spellStart"/>
      <w:r>
        <w:t>СНиП</w:t>
      </w:r>
      <w:proofErr w:type="spellEnd"/>
      <w:r>
        <w:t xml:space="preserve"> </w:t>
      </w:r>
      <w:r>
        <w:rPr>
          <w:lang w:val="en-US"/>
        </w:rPr>
        <w:t>II</w:t>
      </w:r>
      <w:r>
        <w:t>-3-79** Строительная теплотехника.</w:t>
      </w:r>
    </w:p>
    <w:p w:rsidR="00000000" w:rsidRDefault="00B81C70">
      <w:pPr>
        <w:ind w:firstLine="284"/>
        <w:jc w:val="both"/>
      </w:pPr>
      <w:r>
        <w:t xml:space="preserve">В лестничных клетках домов с квартирным отоплением расчетная температура </w:t>
      </w:r>
      <w:r>
        <w:t>воздуха не нормируется.</w:t>
      </w:r>
    </w:p>
    <w:p w:rsidR="00000000" w:rsidRDefault="00B81C70">
      <w:pPr>
        <w:ind w:firstLine="284"/>
        <w:jc w:val="both"/>
      </w:pPr>
      <w:r>
        <w:rPr>
          <w:b/>
        </w:rPr>
        <w:t>2.4.</w:t>
      </w:r>
      <w:r>
        <w:t xml:space="preserve"> Расход теплоты на нагрев поступающего в помещения наружного воздуха определяется дважды:</w:t>
      </w:r>
    </w:p>
    <w:p w:rsidR="00000000" w:rsidRDefault="00B81C70">
      <w:pPr>
        <w:ind w:firstLine="284"/>
        <w:jc w:val="both"/>
      </w:pPr>
      <w:r>
        <w:t xml:space="preserve">а) исходя из количества </w:t>
      </w:r>
      <w:proofErr w:type="spellStart"/>
      <w:r>
        <w:t>инфильтрующегося</w:t>
      </w:r>
      <w:proofErr w:type="spellEnd"/>
      <w:r>
        <w:t xml:space="preserve"> через </w:t>
      </w:r>
      <w:proofErr w:type="spellStart"/>
      <w:r>
        <w:t>неплотности</w:t>
      </w:r>
      <w:proofErr w:type="spellEnd"/>
      <w:r>
        <w:t xml:space="preserve"> наружных ограждений воздуха;</w:t>
      </w:r>
    </w:p>
    <w:p w:rsidR="00000000" w:rsidRDefault="00B81C70">
      <w:pPr>
        <w:ind w:firstLine="284"/>
        <w:jc w:val="both"/>
      </w:pPr>
      <w:r>
        <w:t>б) исходя из санитарной нормы вентиляционного воздуха 3 м</w:t>
      </w:r>
      <w:r>
        <w:rPr>
          <w:vertAlign w:val="superscript"/>
        </w:rPr>
        <w:t>3</w:t>
      </w:r>
      <w:r>
        <w:t>/ч на 1 м</w:t>
      </w:r>
      <w:r>
        <w:rPr>
          <w:vertAlign w:val="superscript"/>
        </w:rPr>
        <w:t>2</w:t>
      </w:r>
      <w:r>
        <w:t xml:space="preserve"> площади пола жилых комнат.</w:t>
      </w:r>
    </w:p>
    <w:p w:rsidR="00000000" w:rsidRDefault="00B81C70">
      <w:pPr>
        <w:ind w:firstLine="284"/>
        <w:jc w:val="both"/>
      </w:pPr>
      <w:r>
        <w:t>Для жилых комнат из двух полученных величин принимают большую, для кухонь — по п. а.</w:t>
      </w:r>
    </w:p>
    <w:p w:rsidR="00000000" w:rsidRDefault="00B81C70">
      <w:pPr>
        <w:ind w:firstLine="284"/>
        <w:jc w:val="both"/>
      </w:pPr>
      <w:r>
        <w:rPr>
          <w:b/>
        </w:rPr>
        <w:t>2.5.</w:t>
      </w:r>
      <w:r>
        <w:t xml:space="preserve"> Расход теплоты</w:t>
      </w:r>
      <w:r>
        <w:rPr>
          <w:lang w:val="en-US"/>
        </w:rPr>
        <w:t xml:space="preserve"> </w:t>
      </w:r>
      <w:proofErr w:type="spellStart"/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i</w:t>
      </w:r>
      <w:proofErr w:type="spellEnd"/>
      <w:r>
        <w:rPr>
          <w:lang w:val="en-US"/>
        </w:rPr>
        <w:t>,</w:t>
      </w:r>
      <w:r>
        <w:t xml:space="preserve"> Вт, на нагрев </w:t>
      </w:r>
      <w:proofErr w:type="spellStart"/>
      <w:r>
        <w:t>инфильтрующегося</w:t>
      </w:r>
      <w:proofErr w:type="spellEnd"/>
      <w:r>
        <w:t xml:space="preserve"> воздуха определяют по формуле</w:t>
      </w:r>
    </w:p>
    <w:p w:rsidR="00000000" w:rsidRDefault="00B81C70">
      <w:pPr>
        <w:ind w:firstLine="284"/>
        <w:jc w:val="both"/>
      </w:pPr>
    </w:p>
    <w:p w:rsidR="00000000" w:rsidRDefault="00B81C70">
      <w:pPr>
        <w:ind w:firstLine="284"/>
        <w:jc w:val="right"/>
      </w:pPr>
      <w:proofErr w:type="spellStart"/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i</w:t>
      </w:r>
      <w:proofErr w:type="spellEnd"/>
      <w:r>
        <w:t xml:space="preserve"> = 0,28</w:t>
      </w:r>
      <w:r>
        <w:rPr>
          <w:lang w:val="en-US"/>
        </w:rPr>
        <w:t xml:space="preserve"> </w:t>
      </w:r>
      <w:r>
        <w:rPr>
          <w:lang w:val="en-US"/>
        </w:rPr>
        <w:sym w:font="Symbol" w:char="F053"/>
      </w:r>
      <w:proofErr w:type="spellStart"/>
      <w:r>
        <w:rPr>
          <w:i/>
          <w:lang w:val="en-US"/>
        </w:rPr>
        <w:t>G</w:t>
      </w:r>
      <w:r>
        <w:rPr>
          <w:i/>
          <w:vertAlign w:val="subscript"/>
          <w:lang w:val="en-US"/>
        </w:rPr>
        <w:t>i</w:t>
      </w:r>
      <w:proofErr w:type="spellEnd"/>
      <w:r>
        <w:rPr>
          <w:i/>
          <w:lang w:val="en-US"/>
        </w:rPr>
        <w:t xml:space="preserve"> .</w:t>
      </w:r>
      <w:proofErr w:type="spellStart"/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i</w:t>
      </w:r>
      <w:proofErr w:type="spellEnd"/>
      <w:r>
        <w:rPr>
          <w:i/>
          <w:lang w:val="en-US"/>
        </w:rPr>
        <w:t xml:space="preserve"> c</w:t>
      </w:r>
      <w:r>
        <w:t xml:space="preserve"> </w:t>
      </w:r>
      <w:r>
        <w:rPr>
          <w:lang w:val="en-US"/>
        </w:rPr>
        <w:t>(</w:t>
      </w:r>
      <w:proofErr w:type="spellStart"/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p</w:t>
      </w:r>
      <w:proofErr w:type="spellEnd"/>
      <w:r>
        <w:t xml:space="preserve"> </w:t>
      </w:r>
      <w:r>
        <w:rPr>
          <w:lang w:val="en-US"/>
        </w:rPr>
        <w:noBreakHyphen/>
      </w:r>
      <w:r>
        <w:t xml:space="preserve"> </w:t>
      </w:r>
      <w:proofErr w:type="spellStart"/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i</w:t>
      </w:r>
      <w:proofErr w:type="spellEnd"/>
      <w:r>
        <w:t xml:space="preserve">),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(2)</w:t>
      </w:r>
    </w:p>
    <w:p w:rsidR="00000000" w:rsidRDefault="00B81C70">
      <w:pPr>
        <w:ind w:firstLine="284"/>
        <w:jc w:val="right"/>
      </w:pPr>
    </w:p>
    <w:p w:rsidR="00000000" w:rsidRDefault="00B81C70">
      <w:pPr>
        <w:ind w:firstLine="284"/>
        <w:jc w:val="both"/>
      </w:pPr>
      <w:r>
        <w:t>где</w:t>
      </w:r>
      <w:r>
        <w:rPr>
          <w:lang w:val="en-US"/>
        </w:rPr>
        <w:t xml:space="preserve"> </w:t>
      </w:r>
      <w:proofErr w:type="spellStart"/>
      <w:r>
        <w:rPr>
          <w:i/>
          <w:lang w:val="en-US"/>
        </w:rPr>
        <w:t>G</w:t>
      </w:r>
      <w:r>
        <w:rPr>
          <w:i/>
          <w:vertAlign w:val="subscript"/>
          <w:lang w:val="en-US"/>
        </w:rPr>
        <w:t>i</w:t>
      </w:r>
      <w:proofErr w:type="spellEnd"/>
      <w:r>
        <w:t xml:space="preserve"> — количество </w:t>
      </w:r>
      <w:proofErr w:type="spellStart"/>
      <w:r>
        <w:t>инфильтрующегося</w:t>
      </w:r>
      <w:proofErr w:type="spellEnd"/>
      <w:r>
        <w:t xml:space="preserve"> воздуха, кг/ч, через ограждение помещения, определяемое по формуле (4); </w:t>
      </w:r>
      <w:r>
        <w:rPr>
          <w:i/>
        </w:rPr>
        <w:t>с</w:t>
      </w:r>
      <w:r>
        <w:rPr>
          <w:i/>
          <w:lang w:val="en-US"/>
        </w:rPr>
        <w:t xml:space="preserve"> </w:t>
      </w:r>
      <w:r>
        <w:rPr>
          <w:i/>
        </w:rPr>
        <w:t>—</w:t>
      </w:r>
      <w:r>
        <w:rPr>
          <w:i/>
          <w:lang w:val="en-US"/>
        </w:rPr>
        <w:t xml:space="preserve"> </w:t>
      </w:r>
      <w:r>
        <w:t xml:space="preserve">удельная теплоемкость воздуха, равная 1 </w:t>
      </w:r>
      <w:proofErr w:type="spellStart"/>
      <w:r>
        <w:t>КДж</w:t>
      </w:r>
      <w:proofErr w:type="spellEnd"/>
      <w:r>
        <w:t>/(кг</w:t>
      </w:r>
      <w:r>
        <w:sym w:font="Symbol" w:char="F0D7"/>
      </w:r>
      <w:r>
        <w:t>°С);</w:t>
      </w:r>
      <w:r>
        <w:rPr>
          <w:lang w:val="en-US"/>
        </w:rPr>
        <w:t xml:space="preserve"> </w:t>
      </w:r>
      <w:proofErr w:type="spellStart"/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i</w:t>
      </w:r>
      <w:proofErr w:type="spellEnd"/>
      <w:r>
        <w:rPr>
          <w:i/>
          <w:lang w:val="en-US"/>
        </w:rPr>
        <w:t xml:space="preserve"> </w:t>
      </w:r>
      <w:r>
        <w:rPr>
          <w:i/>
        </w:rPr>
        <w:t>—</w:t>
      </w:r>
      <w:r>
        <w:rPr>
          <w:i/>
          <w:lang w:val="en-US"/>
        </w:rPr>
        <w:t xml:space="preserve"> </w:t>
      </w:r>
      <w:r>
        <w:t xml:space="preserve">коэффициент учета влияния встречного теплового потока в конструкциях принимается по прил. 9 к </w:t>
      </w:r>
      <w:proofErr w:type="spellStart"/>
      <w:r>
        <w:t>СНиП</w:t>
      </w:r>
      <w:proofErr w:type="spellEnd"/>
      <w:r>
        <w:t xml:space="preserve"> 2.04.05—86; </w:t>
      </w:r>
      <w:proofErr w:type="spellStart"/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p</w:t>
      </w:r>
      <w:proofErr w:type="spellEnd"/>
      <w:r>
        <w:rPr>
          <w:i/>
          <w:lang w:val="en-US"/>
        </w:rPr>
        <w:t xml:space="preserve">, </w:t>
      </w:r>
      <w:proofErr w:type="spellStart"/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i</w:t>
      </w:r>
      <w:proofErr w:type="spellEnd"/>
      <w:r>
        <w:rPr>
          <w:i/>
        </w:rPr>
        <w:t xml:space="preserve"> —</w:t>
      </w:r>
      <w:r>
        <w:t xml:space="preserve"> расчетные температуры воздуха, °С, в помещении и наружного воздуха в холодный период года (параметры Б).</w:t>
      </w:r>
    </w:p>
    <w:p w:rsidR="00000000" w:rsidRDefault="00B81C70">
      <w:pPr>
        <w:ind w:firstLine="284"/>
        <w:jc w:val="both"/>
      </w:pPr>
      <w:r>
        <w:t xml:space="preserve">Расчет расхода тепла на нагрев </w:t>
      </w:r>
      <w:proofErr w:type="spellStart"/>
      <w:r>
        <w:t>инфильтрующегося</w:t>
      </w:r>
      <w:proofErr w:type="spellEnd"/>
      <w:r>
        <w:t xml:space="preserve"> воздуха для всех помещений жилых зданий (в том числе лестничных клет</w:t>
      </w:r>
      <w:r>
        <w:t>ок, лифтовых холлов, поэтажных коридоров), учитывающий обобщенные результаты натурных испытаний различных элементов ограждений на воздухопроницаемость и результаты машинного счета (в табличной форме), можно осуществлять по материалам ЦНИИЭП инженерного оборудования.</w:t>
      </w:r>
    </w:p>
    <w:p w:rsidR="00000000" w:rsidRDefault="00B81C70">
      <w:pPr>
        <w:ind w:firstLine="284"/>
        <w:jc w:val="both"/>
      </w:pPr>
      <w:r>
        <w:rPr>
          <w:b/>
        </w:rPr>
        <w:t>2.6.</w:t>
      </w:r>
      <w:r>
        <w:t xml:space="preserve"> Расход теплоты</w:t>
      </w:r>
      <w:r>
        <w:rPr>
          <w:lang w:val="en-US"/>
        </w:rPr>
        <w:t xml:space="preserve"> </w:t>
      </w:r>
      <w:proofErr w:type="spellStart"/>
      <w:r>
        <w:rPr>
          <w:i/>
          <w:lang w:val="en-US"/>
        </w:rPr>
        <w:t>Q</w:t>
      </w:r>
      <w:r>
        <w:rPr>
          <w:i/>
          <w:vertAlign w:val="subscript"/>
        </w:rPr>
        <w:t>в</w:t>
      </w:r>
      <w:proofErr w:type="spellEnd"/>
      <w:r>
        <w:rPr>
          <w:lang w:val="en-US"/>
        </w:rPr>
        <w:t>,</w:t>
      </w:r>
      <w:r>
        <w:t xml:space="preserve"> Вт, на нагрев санитарной нормы вентиляционного воздуха определяют по формуле</w:t>
      </w:r>
    </w:p>
    <w:p w:rsidR="00000000" w:rsidRDefault="00B81C70">
      <w:pPr>
        <w:ind w:firstLine="284"/>
        <w:jc w:val="both"/>
      </w:pPr>
    </w:p>
    <w:p w:rsidR="00000000" w:rsidRDefault="00B81C70">
      <w:pPr>
        <w:ind w:firstLine="284"/>
        <w:jc w:val="right"/>
      </w:pPr>
      <w:proofErr w:type="spellStart"/>
      <w:r>
        <w:rPr>
          <w:i/>
          <w:lang w:val="en-US"/>
        </w:rPr>
        <w:t>Q</w:t>
      </w:r>
      <w:r>
        <w:rPr>
          <w:i/>
          <w:vertAlign w:val="subscript"/>
        </w:rPr>
        <w:t>в</w:t>
      </w:r>
      <w:proofErr w:type="spellEnd"/>
      <w:r>
        <w:t xml:space="preserve"> — (</w:t>
      </w:r>
      <w:proofErr w:type="spellStart"/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p</w:t>
      </w:r>
      <w:proofErr w:type="spellEnd"/>
      <w:r>
        <w:t xml:space="preserve"> </w:t>
      </w:r>
      <w:r>
        <w:rPr>
          <w:lang w:val="en-US"/>
        </w:rPr>
        <w:noBreakHyphen/>
        <w:t xml:space="preserve"> </w:t>
      </w:r>
      <w:proofErr w:type="spellStart"/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i</w:t>
      </w:r>
      <w:proofErr w:type="spellEnd"/>
      <w:r>
        <w:rPr>
          <w:lang w:val="en-US"/>
        </w:rPr>
        <w:t>)</w:t>
      </w:r>
      <w:r>
        <w:t xml:space="preserve"> </w:t>
      </w:r>
      <w:proofErr w:type="spellStart"/>
      <w:r>
        <w:rPr>
          <w:i/>
        </w:rPr>
        <w:t>А</w:t>
      </w:r>
      <w:r>
        <w:rPr>
          <w:i/>
          <w:vertAlign w:val="subscript"/>
        </w:rPr>
        <w:t>п</w:t>
      </w:r>
      <w:proofErr w:type="spellEnd"/>
      <w:r>
        <w:t xml:space="preserve">, </w:t>
      </w:r>
      <w:r>
        <w:tab/>
      </w:r>
      <w:r>
        <w:tab/>
      </w:r>
      <w:r>
        <w:tab/>
      </w:r>
      <w:r>
        <w:tab/>
        <w:t>(3)</w:t>
      </w:r>
    </w:p>
    <w:p w:rsidR="00000000" w:rsidRDefault="00B81C70">
      <w:pPr>
        <w:ind w:firstLine="284"/>
        <w:jc w:val="right"/>
      </w:pPr>
    </w:p>
    <w:p w:rsidR="00000000" w:rsidRDefault="00B81C70">
      <w:pPr>
        <w:ind w:firstLine="284"/>
        <w:jc w:val="both"/>
      </w:pPr>
      <w:r>
        <w:t>где</w:t>
      </w:r>
      <w:r>
        <w:rPr>
          <w:lang w:val="en-US"/>
        </w:rPr>
        <w:t xml:space="preserve"> </w:t>
      </w:r>
      <w:proofErr w:type="spellStart"/>
      <w:r>
        <w:rPr>
          <w:i/>
          <w:lang w:val="en-US"/>
        </w:rPr>
        <w:t>A</w:t>
      </w:r>
      <w:r>
        <w:rPr>
          <w:i/>
          <w:vertAlign w:val="subscript"/>
        </w:rPr>
        <w:t>п</w:t>
      </w:r>
      <w:proofErr w:type="spellEnd"/>
      <w:r>
        <w:t xml:space="preserve"> — площадь пола жилого помещения, м</w:t>
      </w:r>
      <w:r>
        <w:rPr>
          <w:vertAlign w:val="superscript"/>
        </w:rPr>
        <w:t>2</w:t>
      </w:r>
      <w:r>
        <w:t>.</w:t>
      </w:r>
    </w:p>
    <w:p w:rsidR="00000000" w:rsidRDefault="00B81C70">
      <w:pPr>
        <w:ind w:firstLine="284"/>
        <w:jc w:val="both"/>
      </w:pPr>
      <w:r>
        <w:rPr>
          <w:b/>
        </w:rPr>
        <w:t>2.7.</w:t>
      </w:r>
      <w:r>
        <w:t xml:space="preserve"> Количество </w:t>
      </w:r>
      <w:proofErr w:type="spellStart"/>
      <w:r>
        <w:t>инфильтрующегося</w:t>
      </w:r>
      <w:proofErr w:type="spellEnd"/>
      <w:r>
        <w:t xml:space="preserve"> в помещение воздуха </w:t>
      </w:r>
      <w:r>
        <w:rPr>
          <w:lang w:val="en-US"/>
        </w:rPr>
        <w:sym w:font="Symbol" w:char="F053"/>
      </w:r>
      <w:proofErr w:type="spellStart"/>
      <w:r>
        <w:rPr>
          <w:i/>
          <w:lang w:val="en-US"/>
        </w:rPr>
        <w:t>G</w:t>
      </w:r>
      <w:r>
        <w:rPr>
          <w:i/>
          <w:vertAlign w:val="subscript"/>
          <w:lang w:val="en-US"/>
        </w:rPr>
        <w:t>i</w:t>
      </w:r>
      <w:proofErr w:type="spellEnd"/>
      <w:r>
        <w:rPr>
          <w:lang w:val="en-US"/>
        </w:rPr>
        <w:t>,</w:t>
      </w:r>
      <w:r>
        <w:t xml:space="preserve"> кг/ч, следует</w:t>
      </w:r>
      <w:r>
        <w:t xml:space="preserve"> определять по формуле*</w:t>
      </w:r>
    </w:p>
    <w:p w:rsidR="00000000" w:rsidRDefault="00B81C70">
      <w:pPr>
        <w:ind w:firstLine="284"/>
        <w:jc w:val="right"/>
      </w:pPr>
      <w:r>
        <w:rPr>
          <w:position w:val="-28"/>
        </w:rPr>
        <w:object w:dxaOrig="42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pt;height:36.75pt" o:ole="">
            <v:imagedata r:id="rId4" o:title=""/>
          </v:shape>
          <o:OLEObject Type="Embed" ProgID="Equation.3" ShapeID="_x0000_i1025" DrawAspect="Content" ObjectID="_1427212133" r:id="rId5"/>
        </w:object>
      </w:r>
      <w:r>
        <w:rPr>
          <w:lang w:val="en-US"/>
        </w:rPr>
        <w:tab/>
      </w:r>
      <w:r>
        <w:rPr>
          <w:lang w:val="en-US"/>
        </w:rPr>
        <w:tab/>
      </w:r>
      <w:r>
        <w:t>(4)</w:t>
      </w:r>
    </w:p>
    <w:p w:rsidR="00000000" w:rsidRDefault="00B81C70">
      <w:pPr>
        <w:ind w:firstLine="284"/>
        <w:jc w:val="right"/>
      </w:pPr>
    </w:p>
    <w:p w:rsidR="00000000" w:rsidRDefault="00B81C70">
      <w:pPr>
        <w:ind w:firstLine="284"/>
        <w:jc w:val="both"/>
      </w:pPr>
      <w:r>
        <w:t>где</w:t>
      </w:r>
      <w:r>
        <w:rPr>
          <w:lang w:val="en-US"/>
        </w:rPr>
        <w:t xml:space="preserve"> A</w:t>
      </w:r>
      <w:r>
        <w:rPr>
          <w:vertAlign w:val="subscript"/>
          <w:lang w:val="en-US"/>
        </w:rPr>
        <w:t>1</w:t>
      </w:r>
      <w:r>
        <w:rPr>
          <w:lang w:val="en-US"/>
        </w:rPr>
        <w:t>,</w:t>
      </w:r>
      <w:r>
        <w:t xml:space="preserve"> А</w:t>
      </w:r>
      <w:r>
        <w:rPr>
          <w:vertAlign w:val="subscript"/>
          <w:lang w:val="en-US"/>
        </w:rPr>
        <w:t xml:space="preserve">2 </w:t>
      </w:r>
      <w:r>
        <w:t>—</w:t>
      </w:r>
      <w:r>
        <w:rPr>
          <w:lang w:val="en-US"/>
        </w:rPr>
        <w:t xml:space="preserve"> </w:t>
      </w:r>
      <w:r>
        <w:t>площади соответственно окон (балконных дверей) и наружных дверей, м</w:t>
      </w:r>
      <w:r>
        <w:rPr>
          <w:vertAlign w:val="superscript"/>
          <w:lang w:val="en-US"/>
        </w:rPr>
        <w:t>2</w:t>
      </w:r>
      <w:r>
        <w:t xml:space="preserve">, </w:t>
      </w:r>
      <w:r>
        <w:rPr>
          <w:i/>
          <w:lang w:val="en-US"/>
        </w:rPr>
        <w:t>l</w:t>
      </w:r>
      <w:r>
        <w:rPr>
          <w:lang w:val="en-US"/>
        </w:rPr>
        <w:t xml:space="preserve"> </w:t>
      </w:r>
      <w:r>
        <w:rPr>
          <w:i/>
        </w:rPr>
        <w:t>—</w:t>
      </w:r>
      <w:r>
        <w:rPr>
          <w:i/>
          <w:lang w:val="en-US"/>
        </w:rPr>
        <w:t xml:space="preserve"> </w:t>
      </w:r>
      <w:r>
        <w:t>длина стыков стеновых панелей, м;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1</w:t>
      </w:r>
      <w:r>
        <w:t xml:space="preserve"> и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 xml:space="preserve"> </w:t>
      </w:r>
      <w:r>
        <w:rPr>
          <w:i/>
        </w:rPr>
        <w:t>—</w:t>
      </w:r>
      <w:r>
        <w:rPr>
          <w:i/>
          <w:lang w:val="en-US"/>
        </w:rPr>
        <w:t xml:space="preserve"> </w:t>
      </w:r>
      <w:r>
        <w:t xml:space="preserve">сопротивление </w:t>
      </w:r>
      <w:proofErr w:type="spellStart"/>
      <w:r>
        <w:t>воздухопроницанию</w:t>
      </w:r>
      <w:proofErr w:type="spellEnd"/>
      <w:r>
        <w:t xml:space="preserve"> соответственно окон </w:t>
      </w:r>
      <w:r>
        <w:rPr>
          <w:lang w:val="en-US"/>
        </w:rPr>
        <w:t>(</w:t>
      </w:r>
      <w:r>
        <w:t>м</w:t>
      </w:r>
      <w:r>
        <w:rPr>
          <w:vertAlign w:val="superscript"/>
          <w:lang w:val="en-US"/>
        </w:rPr>
        <w:t>2</w:t>
      </w:r>
      <w:r>
        <w:sym w:font="Symbol" w:char="F0D7"/>
      </w:r>
      <w:r>
        <w:t>ч (</w:t>
      </w:r>
      <w:proofErr w:type="spellStart"/>
      <w:r>
        <w:t>даПа</w:t>
      </w:r>
      <w:proofErr w:type="spellEnd"/>
      <w:r>
        <w:t>)</w:t>
      </w:r>
      <w:r>
        <w:rPr>
          <w:vertAlign w:val="superscript"/>
          <w:lang w:val="en-US"/>
        </w:rPr>
        <w:t>2/3</w:t>
      </w:r>
      <w:r>
        <w:t>/кг) и дверей (м</w:t>
      </w:r>
      <w:r>
        <w:rPr>
          <w:vertAlign w:val="superscript"/>
          <w:lang w:val="en-US"/>
        </w:rPr>
        <w:t>2</w:t>
      </w:r>
      <w:r>
        <w:sym w:font="Symbol" w:char="F0D7"/>
      </w:r>
      <w:r>
        <w:t>ч (</w:t>
      </w:r>
      <w:proofErr w:type="spellStart"/>
      <w:r>
        <w:t>даПа</w:t>
      </w:r>
      <w:proofErr w:type="spellEnd"/>
      <w:r>
        <w:t>)</w:t>
      </w:r>
      <w:r>
        <w:rPr>
          <w:vertAlign w:val="superscript"/>
          <w:lang w:val="en-US"/>
        </w:rPr>
        <w:t>0,5</w:t>
      </w:r>
      <w:r>
        <w:t xml:space="preserve">/кг); определяют по </w:t>
      </w:r>
      <w:proofErr w:type="spellStart"/>
      <w:r>
        <w:t>СНиП</w:t>
      </w:r>
      <w:proofErr w:type="spellEnd"/>
      <w:r>
        <w:t xml:space="preserve"> </w:t>
      </w:r>
      <w:r>
        <w:rPr>
          <w:lang w:val="en-US"/>
        </w:rPr>
        <w:t>II</w:t>
      </w:r>
      <w:r>
        <w:t xml:space="preserve">-3-79** (прил. 10) и </w:t>
      </w:r>
      <w:proofErr w:type="spellStart"/>
      <w:r>
        <w:t>СНиП</w:t>
      </w:r>
      <w:proofErr w:type="spellEnd"/>
      <w:r>
        <w:t xml:space="preserve"> 2.04.05—86 (прил. 9) или по результатам натурных испытаний; </w:t>
      </w:r>
      <w:r>
        <w:sym w:font="Symbol" w:char="F044"/>
      </w:r>
      <w:r>
        <w:rPr>
          <w:lang w:val="en-US"/>
        </w:rPr>
        <w:t>p</w:t>
      </w:r>
      <w:r>
        <w:t xml:space="preserve"> — расчетная разность давлений на наружной и внутренней поверхностях наружных ограждений помещения, </w:t>
      </w:r>
      <w:proofErr w:type="spellStart"/>
      <w:r>
        <w:t>даПа</w:t>
      </w:r>
      <w:proofErr w:type="spellEnd"/>
      <w:r>
        <w:t xml:space="preserve">; </w:t>
      </w:r>
      <w:r>
        <w:sym w:font="Symbol" w:char="F044"/>
      </w:r>
      <w:r>
        <w:rPr>
          <w:lang w:val="en-US"/>
        </w:rPr>
        <w:t>p</w:t>
      </w:r>
      <w:r>
        <w:rPr>
          <w:vertAlign w:val="subscript"/>
          <w:lang w:val="en-US"/>
        </w:rPr>
        <w:t>1</w:t>
      </w:r>
      <w:r>
        <w:rPr>
          <w:vertAlign w:val="subscript"/>
        </w:rPr>
        <w:t>эт</w:t>
      </w:r>
      <w:r>
        <w:t xml:space="preserve"> — разно</w:t>
      </w:r>
      <w:r>
        <w:t xml:space="preserve">сть давлений </w:t>
      </w:r>
      <w:r>
        <w:sym w:font="Symbol" w:char="F044"/>
      </w:r>
      <w:r>
        <w:rPr>
          <w:lang w:val="en-US"/>
        </w:rPr>
        <w:t>p</w:t>
      </w:r>
      <w:r>
        <w:t xml:space="preserve">, определенная для помещений 1-го этажа, </w:t>
      </w:r>
      <w:proofErr w:type="spellStart"/>
      <w:r>
        <w:t>даПа</w:t>
      </w:r>
      <w:proofErr w:type="spellEnd"/>
      <w:r>
        <w:t>.</w:t>
      </w:r>
    </w:p>
    <w:p w:rsidR="00000000" w:rsidRDefault="00B81C70">
      <w:pPr>
        <w:ind w:firstLine="284"/>
        <w:jc w:val="both"/>
      </w:pPr>
      <w:r>
        <w:t xml:space="preserve">* Интерпретация формулы (3) прил. 9 </w:t>
      </w:r>
      <w:proofErr w:type="spellStart"/>
      <w:r>
        <w:t>СНиП</w:t>
      </w:r>
      <w:proofErr w:type="spellEnd"/>
      <w:r>
        <w:t xml:space="preserve"> 2.04.05—86 для жилых зданий.</w:t>
      </w:r>
    </w:p>
    <w:p w:rsidR="00000000" w:rsidRDefault="00B81C70">
      <w:pPr>
        <w:ind w:firstLine="284"/>
        <w:jc w:val="both"/>
      </w:pPr>
      <w:r>
        <w:rPr>
          <w:b/>
        </w:rPr>
        <w:t>2.8.</w:t>
      </w:r>
      <w:r>
        <w:t xml:space="preserve"> Для жилых зданий с естественной вытяжной вентиляцией расчетную разность давлений </w:t>
      </w:r>
      <w:r>
        <w:rPr>
          <w:i/>
        </w:rPr>
        <w:sym w:font="Symbol" w:char="F044"/>
      </w:r>
      <w:proofErr w:type="spellStart"/>
      <w:r>
        <w:rPr>
          <w:i/>
        </w:rPr>
        <w:t>р</w:t>
      </w:r>
      <w:proofErr w:type="spellEnd"/>
      <w:r>
        <w:t xml:space="preserve"> находят по формуле* </w:t>
      </w:r>
    </w:p>
    <w:p w:rsidR="00000000" w:rsidRDefault="00B81C70">
      <w:pPr>
        <w:ind w:firstLine="284"/>
        <w:jc w:val="both"/>
      </w:pPr>
      <w:r>
        <w:t xml:space="preserve">* Интерпретация формулы (4) прил. 9 </w:t>
      </w:r>
      <w:proofErr w:type="spellStart"/>
      <w:r>
        <w:t>СНиП</w:t>
      </w:r>
      <w:proofErr w:type="spellEnd"/>
      <w:r>
        <w:t xml:space="preserve"> 2.04.05—86 для жилых зданий.</w:t>
      </w:r>
    </w:p>
    <w:p w:rsidR="00000000" w:rsidRDefault="00B81C70">
      <w:pPr>
        <w:ind w:firstLine="284"/>
        <w:jc w:val="both"/>
      </w:pPr>
    </w:p>
    <w:p w:rsidR="00000000" w:rsidRDefault="00B81C70">
      <w:pPr>
        <w:ind w:firstLine="284"/>
        <w:jc w:val="right"/>
      </w:pPr>
      <w:r>
        <w:sym w:font="Symbol" w:char="F044"/>
      </w:r>
      <w:proofErr w:type="spellStart"/>
      <w:r>
        <w:t>р</w:t>
      </w:r>
      <w:proofErr w:type="spellEnd"/>
      <w:r>
        <w:t xml:space="preserve"> = (</w:t>
      </w:r>
      <w:proofErr w:type="spellStart"/>
      <w:r>
        <w:rPr>
          <w:i/>
        </w:rPr>
        <w:t>Н</w:t>
      </w:r>
      <w:r>
        <w:rPr>
          <w:i/>
          <w:vertAlign w:val="subscript"/>
        </w:rPr>
        <w:t>ш</w:t>
      </w:r>
      <w:proofErr w:type="spellEnd"/>
      <w:r>
        <w:t xml:space="preserve"> </w:t>
      </w:r>
      <w:r>
        <w:noBreakHyphen/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i</w:t>
      </w:r>
      <w:r>
        <w:rPr>
          <w:lang w:val="en-US"/>
        </w:rPr>
        <w:t>)</w:t>
      </w:r>
      <w:r>
        <w:t xml:space="preserve"> (</w:t>
      </w:r>
      <w:r>
        <w:rPr>
          <w:i/>
        </w:rPr>
        <w:sym w:font="Symbol" w:char="F072"/>
      </w:r>
      <w:proofErr w:type="spellStart"/>
      <w:r>
        <w:rPr>
          <w:i/>
          <w:vertAlign w:val="subscript"/>
          <w:lang w:val="en-US"/>
        </w:rPr>
        <w:t>i</w:t>
      </w:r>
      <w:proofErr w:type="spellEnd"/>
      <w:r>
        <w:t xml:space="preserve"> </w:t>
      </w:r>
      <w:r>
        <w:rPr>
          <w:lang w:val="en-US"/>
        </w:rPr>
        <w:noBreakHyphen/>
      </w:r>
      <w:r>
        <w:t xml:space="preserve"> 1,27) +</w:t>
      </w:r>
      <w:r>
        <w:rPr>
          <w:lang w:val="en-US"/>
        </w:rPr>
        <w:t xml:space="preserve"> 0,05 </w:t>
      </w:r>
      <w:r>
        <w:rPr>
          <w:i/>
        </w:rPr>
        <w:sym w:font="Symbol" w:char="F072"/>
      </w:r>
      <w:proofErr w:type="spellStart"/>
      <w:r>
        <w:rPr>
          <w:i/>
          <w:vertAlign w:val="subscript"/>
          <w:lang w:val="en-US"/>
        </w:rPr>
        <w:t>i</w:t>
      </w:r>
      <w:proofErr w:type="spellEnd"/>
      <w:r>
        <w:rPr>
          <w:i/>
          <w:lang w:val="en-US"/>
        </w:rPr>
        <w:t xml:space="preserve"> v</w:t>
      </w:r>
      <w:r>
        <w:rPr>
          <w:i/>
          <w:vertAlign w:val="superscript"/>
          <w:lang w:val="en-US"/>
        </w:rPr>
        <w:t>2</w:t>
      </w:r>
      <w:r>
        <w:rPr>
          <w:i/>
          <w:lang w:val="en-US"/>
        </w:rPr>
        <w:t xml:space="preserve"> </w:t>
      </w:r>
      <w:r>
        <w:t>(</w:t>
      </w:r>
      <w:proofErr w:type="spellStart"/>
      <w:r>
        <w:rPr>
          <w:i/>
        </w:rPr>
        <w:t>с</w:t>
      </w:r>
      <w:r>
        <w:rPr>
          <w:vertAlign w:val="subscript"/>
          <w:lang w:val="en-US"/>
        </w:rPr>
        <w:t>l</w:t>
      </w:r>
      <w:proofErr w:type="spellEnd"/>
      <w:r>
        <w:rPr>
          <w:vertAlign w:val="subscript"/>
          <w:lang w:val="en-US"/>
        </w:rPr>
        <w:t>,</w:t>
      </w:r>
      <w:r>
        <w:rPr>
          <w:vertAlign w:val="subscript"/>
        </w:rPr>
        <w:t xml:space="preserve"> и</w:t>
      </w:r>
      <w:r>
        <w:rPr>
          <w:lang w:val="en-US"/>
        </w:rPr>
        <w:t xml:space="preserve"> </w:t>
      </w:r>
      <w:proofErr w:type="spellStart"/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i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noBreakHyphen/>
        <w:t xml:space="preserve"> </w:t>
      </w:r>
      <w:proofErr w:type="spellStart"/>
      <w:r>
        <w:rPr>
          <w:i/>
        </w:rPr>
        <w:t>с</w:t>
      </w:r>
      <w:r>
        <w:rPr>
          <w:vertAlign w:val="subscript"/>
          <w:lang w:val="en-US"/>
        </w:rPr>
        <w:t>l</w:t>
      </w:r>
      <w:proofErr w:type="spellEnd"/>
      <w:r>
        <w:rPr>
          <w:vertAlign w:val="subscript"/>
          <w:lang w:val="en-US"/>
        </w:rPr>
        <w:t>,</w:t>
      </w:r>
      <w:r>
        <w:rPr>
          <w:vertAlign w:val="subscript"/>
        </w:rPr>
        <w:t xml:space="preserve"> и</w:t>
      </w:r>
      <w:r>
        <w:rPr>
          <w:lang w:val="en-US"/>
        </w:rPr>
        <w:t xml:space="preserve"> </w:t>
      </w:r>
      <w:proofErr w:type="spellStart"/>
      <w:r>
        <w:rPr>
          <w:i/>
          <w:lang w:val="en-US"/>
        </w:rPr>
        <w:t>k</w:t>
      </w:r>
      <w:r>
        <w:rPr>
          <w:i/>
          <w:vertAlign w:val="subscript"/>
        </w:rPr>
        <w:t>ш</w:t>
      </w:r>
      <w:proofErr w:type="spellEnd"/>
      <w:r>
        <w:rPr>
          <w:lang w:val="en-US"/>
        </w:rPr>
        <w:t>)</w:t>
      </w:r>
      <w:r>
        <w:t xml:space="preserve">, </w:t>
      </w:r>
      <w:r>
        <w:tab/>
      </w:r>
      <w:r>
        <w:tab/>
        <w:t>(5)</w:t>
      </w:r>
    </w:p>
    <w:p w:rsidR="00000000" w:rsidRDefault="00B81C70">
      <w:pPr>
        <w:ind w:firstLine="284"/>
        <w:jc w:val="right"/>
      </w:pPr>
    </w:p>
    <w:p w:rsidR="00000000" w:rsidRDefault="00B81C70">
      <w:pPr>
        <w:ind w:firstLine="284"/>
        <w:jc w:val="both"/>
      </w:pPr>
      <w:r>
        <w:t xml:space="preserve">где </w:t>
      </w:r>
      <w:proofErr w:type="spellStart"/>
      <w:r>
        <w:rPr>
          <w:i/>
        </w:rPr>
        <w:t>Н</w:t>
      </w:r>
      <w:r>
        <w:rPr>
          <w:i/>
          <w:vertAlign w:val="subscript"/>
        </w:rPr>
        <w:t>ш</w:t>
      </w:r>
      <w:proofErr w:type="spellEnd"/>
      <w:r>
        <w:t xml:space="preserve"> — высота устья шахты от уровня земли, м;</w:t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i</w:t>
      </w:r>
      <w:r>
        <w:t xml:space="preserve"> — высота от уровня земли до центра рассчитываемого помещения, м; </w:t>
      </w:r>
      <w:r>
        <w:rPr>
          <w:i/>
          <w:lang w:val="en-US"/>
        </w:rPr>
        <w:t>v</w:t>
      </w:r>
      <w:r>
        <w:rPr>
          <w:i/>
        </w:rPr>
        <w:t xml:space="preserve"> —</w:t>
      </w:r>
      <w:r>
        <w:t xml:space="preserve"> скорость </w:t>
      </w:r>
      <w:r>
        <w:t xml:space="preserve">ветра, принимаемая по прил. 7 и в соответствии с п. 3.2 </w:t>
      </w:r>
      <w:proofErr w:type="spellStart"/>
      <w:r>
        <w:t>СНиП</w:t>
      </w:r>
      <w:proofErr w:type="spellEnd"/>
      <w:r>
        <w:t xml:space="preserve"> 2.04.05—86, м/с;</w:t>
      </w:r>
      <w:r>
        <w:rPr>
          <w:lang w:val="en-US"/>
        </w:rPr>
        <w:t xml:space="preserve"> </w:t>
      </w:r>
      <w:r>
        <w:rPr>
          <w:i/>
        </w:rPr>
        <w:sym w:font="Symbol" w:char="F072"/>
      </w:r>
      <w:proofErr w:type="spellStart"/>
      <w:r>
        <w:rPr>
          <w:i/>
          <w:vertAlign w:val="subscript"/>
          <w:lang w:val="en-US"/>
        </w:rPr>
        <w:t>i</w:t>
      </w:r>
      <w:proofErr w:type="spellEnd"/>
      <w:r>
        <w:t xml:space="preserve"> — плотность наружного воздуха, кг/м</w:t>
      </w:r>
      <w:r>
        <w:rPr>
          <w:vertAlign w:val="superscript"/>
        </w:rPr>
        <w:t>3</w:t>
      </w:r>
      <w:r>
        <w:t>, которую определяют по формуле</w:t>
      </w:r>
    </w:p>
    <w:p w:rsidR="00000000" w:rsidRDefault="00B81C70">
      <w:pPr>
        <w:ind w:firstLine="284"/>
        <w:jc w:val="right"/>
      </w:pPr>
      <w:r>
        <w:rPr>
          <w:i/>
        </w:rPr>
        <w:sym w:font="Symbol" w:char="F072"/>
      </w:r>
      <w:proofErr w:type="spellStart"/>
      <w:r>
        <w:rPr>
          <w:i/>
          <w:vertAlign w:val="subscript"/>
          <w:lang w:val="en-US"/>
        </w:rPr>
        <w:t>i</w:t>
      </w:r>
      <w:proofErr w:type="spellEnd"/>
      <w:r>
        <w:t xml:space="preserve"> = 353/(273 +</w:t>
      </w:r>
      <w:r>
        <w:rPr>
          <w:lang w:val="en-US"/>
        </w:rPr>
        <w:t xml:space="preserve"> </w:t>
      </w:r>
      <w:proofErr w:type="spellStart"/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i</w:t>
      </w:r>
      <w:proofErr w:type="spellEnd"/>
      <w:r>
        <w:rPr>
          <w:lang w:val="en-US"/>
        </w:rPr>
        <w:t xml:space="preserve">),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(6)</w:t>
      </w:r>
    </w:p>
    <w:p w:rsidR="00000000" w:rsidRDefault="00B81C70">
      <w:pPr>
        <w:ind w:firstLine="284"/>
        <w:jc w:val="right"/>
        <w:rPr>
          <w:i/>
          <w:lang w:val="en-US"/>
        </w:rPr>
      </w:pPr>
    </w:p>
    <w:p w:rsidR="00000000" w:rsidRDefault="00B81C70">
      <w:pPr>
        <w:ind w:firstLine="284"/>
        <w:jc w:val="both"/>
      </w:pPr>
      <w:r>
        <w:t>где</w:t>
      </w:r>
      <w:r>
        <w:rPr>
          <w:lang w:val="en-US"/>
        </w:rPr>
        <w:t xml:space="preserve"> </w:t>
      </w:r>
      <w:proofErr w:type="spellStart"/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i</w:t>
      </w:r>
      <w:proofErr w:type="spellEnd"/>
      <w:r>
        <w:rPr>
          <w:i/>
          <w:lang w:val="en-US"/>
        </w:rPr>
        <w:t xml:space="preserve"> </w:t>
      </w:r>
      <w:r>
        <w:rPr>
          <w:i/>
        </w:rPr>
        <w:t>—</w:t>
      </w:r>
      <w:r>
        <w:rPr>
          <w:i/>
          <w:lang w:val="en-US"/>
        </w:rPr>
        <w:t xml:space="preserve"> </w:t>
      </w:r>
      <w:r>
        <w:t xml:space="preserve">температура наружного воздуха по параметрам </w:t>
      </w:r>
      <w:r>
        <w:rPr>
          <w:i/>
        </w:rPr>
        <w:t>Б</w:t>
      </w:r>
      <w:r>
        <w:t xml:space="preserve"> или</w:t>
      </w:r>
      <w:r>
        <w:rPr>
          <w:i/>
        </w:rPr>
        <w:t xml:space="preserve"> А</w:t>
      </w:r>
      <w:r>
        <w:t xml:space="preserve"> (см. п. 3.2 </w:t>
      </w:r>
      <w:proofErr w:type="spellStart"/>
      <w:r>
        <w:t>СНиП</w:t>
      </w:r>
      <w:proofErr w:type="spellEnd"/>
      <w:r>
        <w:t xml:space="preserve"> 2.04.05—86), °С;</w:t>
      </w:r>
      <w:r>
        <w:rPr>
          <w:lang w:val="en-US"/>
        </w:rPr>
        <w:t xml:space="preserve"> </w:t>
      </w:r>
      <w:proofErr w:type="spellStart"/>
      <w:r>
        <w:rPr>
          <w:i/>
        </w:rPr>
        <w:t>с</w:t>
      </w:r>
      <w:r>
        <w:rPr>
          <w:vertAlign w:val="subscript"/>
          <w:lang w:val="en-US"/>
        </w:rPr>
        <w:t>l</w:t>
      </w:r>
      <w:proofErr w:type="spellEnd"/>
      <w:r>
        <w:rPr>
          <w:vertAlign w:val="subscript"/>
          <w:lang w:val="en-US"/>
        </w:rPr>
        <w:t>,</w:t>
      </w:r>
      <w:r>
        <w:rPr>
          <w:vertAlign w:val="subscript"/>
        </w:rPr>
        <w:t xml:space="preserve"> и</w:t>
      </w:r>
      <w:r>
        <w:t xml:space="preserve"> </w:t>
      </w:r>
      <w:proofErr w:type="spellStart"/>
      <w:r>
        <w:t>и</w:t>
      </w:r>
      <w:proofErr w:type="spellEnd"/>
      <w:r>
        <w:rPr>
          <w:lang w:val="en-US"/>
        </w:rPr>
        <w:t xml:space="preserve"> </w:t>
      </w:r>
      <w:proofErr w:type="spellStart"/>
      <w:r>
        <w:rPr>
          <w:i/>
        </w:rPr>
        <w:t>с</w:t>
      </w:r>
      <w:r>
        <w:rPr>
          <w:vertAlign w:val="subscript"/>
          <w:lang w:val="en-US"/>
        </w:rPr>
        <w:t>l</w:t>
      </w:r>
      <w:proofErr w:type="spellEnd"/>
      <w:r>
        <w:rPr>
          <w:vertAlign w:val="subscript"/>
          <w:lang w:val="en-US"/>
        </w:rPr>
        <w:t>,</w:t>
      </w:r>
      <w:r>
        <w:rPr>
          <w:vertAlign w:val="subscript"/>
        </w:rPr>
        <w:t xml:space="preserve"> </w:t>
      </w:r>
      <w:r>
        <w:rPr>
          <w:vertAlign w:val="subscript"/>
          <w:lang w:val="en-US"/>
        </w:rPr>
        <w:t>n</w:t>
      </w:r>
      <w:r>
        <w:rPr>
          <w:lang w:val="en-US"/>
        </w:rPr>
        <w:t xml:space="preserve"> </w:t>
      </w:r>
      <w:r>
        <w:t>—</w:t>
      </w:r>
      <w:r>
        <w:rPr>
          <w:lang w:val="en-US"/>
        </w:rPr>
        <w:t xml:space="preserve"> </w:t>
      </w:r>
      <w:r>
        <w:t xml:space="preserve">аэродинамические коэффициенты соответственно для наветренной и подветренной поверхностей ограждений здания, принимают в соответствии со </w:t>
      </w:r>
      <w:proofErr w:type="spellStart"/>
      <w:r>
        <w:t>СНиП</w:t>
      </w:r>
      <w:proofErr w:type="spellEnd"/>
      <w:r>
        <w:t xml:space="preserve"> 2.01.07—85 равными +0,8 и —0,6; </w:t>
      </w:r>
      <w:proofErr w:type="spellStart"/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i</w:t>
      </w:r>
      <w:proofErr w:type="spellEnd"/>
      <w:r>
        <w:t xml:space="preserve"> и</w:t>
      </w:r>
      <w:r>
        <w:rPr>
          <w:lang w:val="en-US"/>
        </w:rPr>
        <w:t xml:space="preserve"> </w:t>
      </w:r>
      <w:proofErr w:type="spellStart"/>
      <w:r>
        <w:rPr>
          <w:i/>
          <w:lang w:val="en-US"/>
        </w:rPr>
        <w:t>k</w:t>
      </w:r>
      <w:r>
        <w:rPr>
          <w:i/>
          <w:vertAlign w:val="subscript"/>
        </w:rPr>
        <w:t>ш</w:t>
      </w:r>
      <w:proofErr w:type="spellEnd"/>
      <w:r>
        <w:t xml:space="preserve"> — коэффициенты учета изменения скоростног</w:t>
      </w:r>
      <w:r>
        <w:t xml:space="preserve">о давления ветра в зависимости от высоты; принимают соответственно для рассчитываемого элемента и устья шахты по </w:t>
      </w:r>
      <w:proofErr w:type="spellStart"/>
      <w:r>
        <w:t>СНиП</w:t>
      </w:r>
      <w:proofErr w:type="spellEnd"/>
      <w:r>
        <w:t xml:space="preserve"> 2.01.07—85.</w:t>
      </w:r>
    </w:p>
    <w:p w:rsidR="00000000" w:rsidRDefault="00B81C70">
      <w:pPr>
        <w:ind w:firstLine="284"/>
        <w:jc w:val="both"/>
      </w:pPr>
      <w:r>
        <w:t xml:space="preserve">В формуле (5) учтены потери давления в </w:t>
      </w:r>
      <w:proofErr w:type="spellStart"/>
      <w:r>
        <w:t>вентканалах</w:t>
      </w:r>
      <w:proofErr w:type="spellEnd"/>
      <w:r>
        <w:t xml:space="preserve"> при нормируемом расходе удаляемого воздуха.</w:t>
      </w:r>
    </w:p>
    <w:p w:rsidR="00000000" w:rsidRDefault="00B81C70">
      <w:pPr>
        <w:ind w:firstLine="284"/>
        <w:jc w:val="both"/>
      </w:pPr>
      <w:r>
        <w:rPr>
          <w:b/>
        </w:rPr>
        <w:t>2.9.</w:t>
      </w:r>
      <w:r>
        <w:t xml:space="preserve"> В соответствии с п. 3.1 </w:t>
      </w:r>
      <w:proofErr w:type="spellStart"/>
      <w:r>
        <w:t>СНиП</w:t>
      </w:r>
      <w:proofErr w:type="spellEnd"/>
      <w:r>
        <w:t xml:space="preserve"> 2.04.05—86 бытовые тепловыделения </w:t>
      </w:r>
      <w:proofErr w:type="spellStart"/>
      <w:r>
        <w:rPr>
          <w:lang w:val="en-US"/>
        </w:rPr>
        <w:t>Q</w:t>
      </w:r>
      <w:r>
        <w:rPr>
          <w:vertAlign w:val="subscript"/>
        </w:rPr>
        <w:t>быт</w:t>
      </w:r>
      <w:proofErr w:type="spellEnd"/>
      <w:r>
        <w:t xml:space="preserve"> следует учитывать для жилых комнат и кухонь в размере 21 Вт на 1 м</w:t>
      </w:r>
      <w:r>
        <w:rPr>
          <w:vertAlign w:val="superscript"/>
        </w:rPr>
        <w:t>2</w:t>
      </w:r>
      <w:r>
        <w:t xml:space="preserve"> площади пола.</w:t>
      </w:r>
    </w:p>
    <w:p w:rsidR="00000000" w:rsidRDefault="00B81C70">
      <w:pPr>
        <w:ind w:firstLine="284"/>
        <w:jc w:val="both"/>
      </w:pPr>
      <w:r>
        <w:rPr>
          <w:b/>
        </w:rPr>
        <w:t>2.10.</w:t>
      </w:r>
      <w:r>
        <w:t xml:space="preserve"> Теплопоступления за счет солнечной радиации</w:t>
      </w:r>
      <w:r>
        <w:rPr>
          <w:lang w:val="en-US"/>
        </w:rPr>
        <w:t xml:space="preserve"> </w:t>
      </w:r>
      <w:proofErr w:type="spellStart"/>
      <w:r>
        <w:rPr>
          <w:i/>
          <w:lang w:val="en-US"/>
        </w:rPr>
        <w:t>Q</w:t>
      </w:r>
      <w:r>
        <w:rPr>
          <w:i/>
          <w:vertAlign w:val="subscript"/>
        </w:rPr>
        <w:t>инс</w:t>
      </w:r>
      <w:proofErr w:type="spellEnd"/>
      <w:r>
        <w:rPr>
          <w:i/>
          <w:lang w:val="en-US"/>
        </w:rPr>
        <w:t xml:space="preserve"> </w:t>
      </w:r>
      <w:r>
        <w:t>не рекомендуется учитывать в тепловом балансе при определении расчетной нагру</w:t>
      </w:r>
      <w:r>
        <w:t xml:space="preserve">зки системы отопления. Перегрев помещений за счет инсоляции следует снимать путем </w:t>
      </w:r>
      <w:proofErr w:type="spellStart"/>
      <w:r>
        <w:t>пофасадного</w:t>
      </w:r>
      <w:proofErr w:type="spellEnd"/>
      <w:r>
        <w:t xml:space="preserve"> регулирования систем отопления (см. разд. 3).</w:t>
      </w:r>
    </w:p>
    <w:p w:rsidR="00000000" w:rsidRDefault="00B81C70">
      <w:pPr>
        <w:ind w:firstLine="284"/>
        <w:jc w:val="both"/>
      </w:pPr>
      <w:r>
        <w:rPr>
          <w:b/>
        </w:rPr>
        <w:t>2.11.</w:t>
      </w:r>
      <w:r>
        <w:t xml:space="preserve"> Расход теплоты, </w:t>
      </w:r>
      <w:proofErr w:type="spellStart"/>
      <w:r>
        <w:t>ГДж</w:t>
      </w:r>
      <w:proofErr w:type="spellEnd"/>
      <w:r>
        <w:t>, за отопительный период</w:t>
      </w:r>
      <w:r>
        <w:rPr>
          <w:lang w:val="en-US"/>
        </w:rPr>
        <w:t xml:space="preserve"> </w:t>
      </w:r>
      <w:r>
        <w:rPr>
          <w:lang w:val="en-US"/>
        </w:rPr>
        <w:sym w:font="Symbol" w:char="F053"/>
      </w:r>
      <w:r>
        <w:rPr>
          <w:i/>
          <w:lang w:val="en-US"/>
        </w:rPr>
        <w:t>Q</w:t>
      </w:r>
      <w:r>
        <w:rPr>
          <w:lang w:val="en-US"/>
        </w:rPr>
        <w:t xml:space="preserve"> </w:t>
      </w:r>
      <w:r>
        <w:t>находят из выражения</w:t>
      </w:r>
    </w:p>
    <w:p w:rsidR="00000000" w:rsidRDefault="00B81C70">
      <w:pPr>
        <w:ind w:firstLine="284"/>
        <w:jc w:val="both"/>
      </w:pPr>
    </w:p>
    <w:p w:rsidR="00000000" w:rsidRDefault="00B81C70">
      <w:pPr>
        <w:ind w:firstLine="284"/>
        <w:jc w:val="right"/>
      </w:pPr>
      <w:r>
        <w:rPr>
          <w:i/>
          <w:position w:val="-30"/>
        </w:rPr>
        <w:object w:dxaOrig="3500" w:dyaOrig="760">
          <v:shape id="_x0000_i1026" type="#_x0000_t75" style="width:164.25pt;height:36pt" o:ole="">
            <v:imagedata r:id="rId6" o:title=""/>
          </v:shape>
          <o:OLEObject Type="Embed" ProgID="Equation.3" ShapeID="_x0000_i1026" DrawAspect="Content" ObjectID="_1427212134" r:id="rId7"/>
        </w:objec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t>(7)</w:t>
      </w:r>
    </w:p>
    <w:p w:rsidR="00000000" w:rsidRDefault="00B81C70">
      <w:pPr>
        <w:ind w:firstLine="284"/>
        <w:jc w:val="right"/>
        <w:rPr>
          <w:i/>
        </w:rPr>
      </w:pPr>
    </w:p>
    <w:p w:rsidR="00000000" w:rsidRDefault="00B81C70">
      <w:pPr>
        <w:ind w:firstLine="284"/>
        <w:jc w:val="both"/>
      </w:pPr>
      <w:r>
        <w:t xml:space="preserve">где </w:t>
      </w:r>
      <w:r>
        <w:rPr>
          <w:i/>
          <w:lang w:val="en-US"/>
        </w:rPr>
        <w:t>Q</w:t>
      </w:r>
      <w:r>
        <w:rPr>
          <w:i/>
        </w:rPr>
        <w:t xml:space="preserve"> — </w:t>
      </w:r>
      <w:r>
        <w:t xml:space="preserve">расчетный расход теплоты отапливаемым зданием (фасадом); </w:t>
      </w:r>
      <w:proofErr w:type="spellStart"/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p</w:t>
      </w:r>
      <w:proofErr w:type="spellEnd"/>
      <w:r>
        <w:rPr>
          <w:i/>
        </w:rPr>
        <w:t xml:space="preserve"> — </w:t>
      </w:r>
      <w:r>
        <w:t xml:space="preserve">расчетная температура внутреннего воздуха, °С; </w:t>
      </w:r>
      <w:r>
        <w:rPr>
          <w:position w:val="-10"/>
        </w:rPr>
        <w:object w:dxaOrig="499" w:dyaOrig="360">
          <v:shape id="_x0000_i1027" type="#_x0000_t75" style="width:24.75pt;height:18pt" o:ole="">
            <v:imagedata r:id="rId8" o:title=""/>
          </v:shape>
          <o:OLEObject Type="Embed" ProgID="Equation.3" ShapeID="_x0000_i1027" DrawAspect="Content" ObjectID="_1427212135" r:id="rId9"/>
        </w:object>
      </w:r>
      <w:r>
        <w:t xml:space="preserve"> — средняя за отопительный период температура наружного воздуха, °С, принимаемая по </w:t>
      </w:r>
      <w:proofErr w:type="spellStart"/>
      <w:r>
        <w:t>СНиП</w:t>
      </w:r>
      <w:proofErr w:type="spellEnd"/>
      <w:r>
        <w:t xml:space="preserve"> 2.01.01—82;</w:t>
      </w:r>
      <w:r>
        <w:rPr>
          <w:lang w:val="en-US"/>
        </w:rPr>
        <w:t xml:space="preserve"> </w:t>
      </w:r>
      <w:proofErr w:type="spellStart"/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i</w:t>
      </w:r>
      <w:proofErr w:type="spellEnd"/>
      <w:r>
        <w:rPr>
          <w:i/>
        </w:rPr>
        <w:t xml:space="preserve"> — </w:t>
      </w:r>
      <w:r>
        <w:t>расчетная температура нару</w:t>
      </w:r>
      <w:r>
        <w:t xml:space="preserve">жного воздуха (параметры </w:t>
      </w:r>
      <w:r>
        <w:rPr>
          <w:i/>
        </w:rPr>
        <w:t>Б</w:t>
      </w:r>
      <w:r>
        <w:t xml:space="preserve">), °С; </w:t>
      </w:r>
      <w:proofErr w:type="spellStart"/>
      <w:r>
        <w:rPr>
          <w:i/>
        </w:rPr>
        <w:t>п</w:t>
      </w:r>
      <w:proofErr w:type="spellEnd"/>
      <w:r>
        <w:t xml:space="preserve"> — количество дней отопительного сезона (продолжительность периода со средней суточной температурой воздуха </w:t>
      </w:r>
      <w:r>
        <w:sym w:font="Symbol" w:char="F0A3"/>
      </w:r>
      <w:r>
        <w:t xml:space="preserve"> 8 °С), принимаемое по </w:t>
      </w:r>
      <w:proofErr w:type="spellStart"/>
      <w:r>
        <w:t>СНиП</w:t>
      </w:r>
      <w:proofErr w:type="spellEnd"/>
      <w:r>
        <w:t xml:space="preserve"> 2.01.01—82.</w:t>
      </w:r>
    </w:p>
    <w:p w:rsidR="00000000" w:rsidRDefault="00B81C70">
      <w:pPr>
        <w:ind w:firstLine="284"/>
        <w:jc w:val="both"/>
      </w:pPr>
      <w:r>
        <w:t>С достаточной степенью точности можно принимать</w:t>
      </w:r>
    </w:p>
    <w:p w:rsidR="00000000" w:rsidRDefault="00B81C70">
      <w:pPr>
        <w:ind w:firstLine="284"/>
        <w:jc w:val="both"/>
      </w:pPr>
    </w:p>
    <w:p w:rsidR="00000000" w:rsidRDefault="00B81C70">
      <w:pPr>
        <w:jc w:val="center"/>
      </w:pPr>
      <w:r>
        <w:t>(</w:t>
      </w:r>
      <w:proofErr w:type="spellStart"/>
      <w:r>
        <w:rPr>
          <w:i/>
        </w:rPr>
        <w:t>t</w:t>
      </w:r>
      <w:r>
        <w:rPr>
          <w:i/>
          <w:vertAlign w:val="subscript"/>
        </w:rPr>
        <w:t>p</w:t>
      </w:r>
      <w:proofErr w:type="spellEnd"/>
      <w:r>
        <w:rPr>
          <w:i/>
        </w:rPr>
        <w:t xml:space="preserve"> </w:t>
      </w:r>
      <w:r>
        <w:rPr>
          <w:i/>
        </w:rPr>
        <w:noBreakHyphen/>
        <w:t xml:space="preserve"> </w:t>
      </w:r>
      <w:r>
        <w:rPr>
          <w:position w:val="-10"/>
        </w:rPr>
        <w:object w:dxaOrig="499" w:dyaOrig="360">
          <v:shape id="_x0000_i1028" type="#_x0000_t75" style="width:24.75pt;height:18pt" o:ole="">
            <v:imagedata r:id="rId8" o:title=""/>
          </v:shape>
          <o:OLEObject Type="Embed" ProgID="Equation.3" ShapeID="_x0000_i1028" DrawAspect="Content" ObjectID="_1427212136" r:id="rId10"/>
        </w:object>
      </w:r>
      <w:r>
        <w:t>)</w:t>
      </w:r>
      <w:r>
        <w:rPr>
          <w:lang w:val="en-US"/>
        </w:rPr>
        <w:t xml:space="preserve"> /(</w:t>
      </w:r>
      <w:proofErr w:type="spellStart"/>
      <w:r>
        <w:rPr>
          <w:i/>
          <w:lang w:val="en-US"/>
        </w:rPr>
        <w:t>t</w:t>
      </w:r>
      <w:r>
        <w:rPr>
          <w:i/>
          <w:vertAlign w:val="subscript"/>
        </w:rPr>
        <w:t>р</w:t>
      </w:r>
      <w:proofErr w:type="spellEnd"/>
      <w:r>
        <w:rPr>
          <w:i/>
        </w:rPr>
        <w:t xml:space="preserve"> </w:t>
      </w:r>
      <w:r>
        <w:rPr>
          <w:i/>
        </w:rPr>
        <w:noBreakHyphen/>
        <w:t xml:space="preserve"> </w:t>
      </w:r>
      <w:proofErr w:type="spellStart"/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i</w:t>
      </w:r>
      <w:proofErr w:type="spellEnd"/>
      <w:r>
        <w:t>) = 0,5.</w:t>
      </w:r>
    </w:p>
    <w:p w:rsidR="00000000" w:rsidRDefault="00B81C70">
      <w:pPr>
        <w:jc w:val="center"/>
      </w:pPr>
    </w:p>
    <w:p w:rsidR="00000000" w:rsidRDefault="00B81C70">
      <w:pPr>
        <w:ind w:firstLine="284"/>
        <w:jc w:val="both"/>
      </w:pPr>
      <w:r>
        <w:rPr>
          <w:b/>
        </w:rPr>
        <w:t>2.12.</w:t>
      </w:r>
      <w:r>
        <w:t xml:space="preserve"> В связи с переходом с 01.01.88 на расчет вентиляционной составляющей </w:t>
      </w:r>
      <w:proofErr w:type="spellStart"/>
      <w:r>
        <w:t>теплопотерь</w:t>
      </w:r>
      <w:proofErr w:type="spellEnd"/>
      <w:r>
        <w:t xml:space="preserve"> с параметров наружного воздуха </w:t>
      </w:r>
      <w:r>
        <w:rPr>
          <w:i/>
        </w:rPr>
        <w:t xml:space="preserve">А </w:t>
      </w:r>
      <w:r>
        <w:t xml:space="preserve">на параметры </w:t>
      </w:r>
      <w:r>
        <w:rPr>
          <w:i/>
        </w:rPr>
        <w:t>Б</w:t>
      </w:r>
      <w:r>
        <w:t xml:space="preserve"> впредь до утверждения новых контрольных показателей расхода теплоты на отопление жилых зданий реко</w:t>
      </w:r>
      <w:r>
        <w:t xml:space="preserve">мендуется принимать ранее утвержденные </w:t>
      </w:r>
      <w:proofErr w:type="spellStart"/>
      <w:r>
        <w:t>Госгражданстроем</w:t>
      </w:r>
      <w:proofErr w:type="spellEnd"/>
      <w:r>
        <w:t xml:space="preserve"> контрольные показатели с повышающим коэффициентом 1,15. </w:t>
      </w:r>
    </w:p>
    <w:p w:rsidR="00000000" w:rsidRDefault="00B81C70">
      <w:pPr>
        <w:ind w:firstLine="284"/>
        <w:jc w:val="both"/>
      </w:pPr>
      <w:r>
        <w:rPr>
          <w:b/>
        </w:rPr>
        <w:t>2.13.</w:t>
      </w:r>
      <w:r>
        <w:t xml:space="preserve"> При определении удельных тепловых характеристик жилых зданий общая площадь принимается как сумма площадей отапливаемых помещений.</w:t>
      </w:r>
    </w:p>
    <w:p w:rsidR="00000000" w:rsidRDefault="00B81C70">
      <w:pPr>
        <w:ind w:firstLine="284"/>
        <w:jc w:val="both"/>
      </w:pPr>
    </w:p>
    <w:p w:rsidR="00000000" w:rsidRDefault="00B81C70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ОТОПЛЕНИЕ</w:t>
      </w:r>
    </w:p>
    <w:p w:rsidR="00000000" w:rsidRDefault="00B81C70"/>
    <w:p w:rsidR="00000000" w:rsidRDefault="00B81C70">
      <w:pPr>
        <w:ind w:firstLine="284"/>
        <w:jc w:val="both"/>
      </w:pPr>
      <w:r>
        <w:rPr>
          <w:b/>
        </w:rPr>
        <w:t>3.1.</w:t>
      </w:r>
      <w:r>
        <w:t xml:space="preserve"> Тепловой поток системы отопления в расчетном режиме должен создавать в помещениях температуры воздуха, нормируемые </w:t>
      </w:r>
      <w:proofErr w:type="spellStart"/>
      <w:r>
        <w:t>СНиП</w:t>
      </w:r>
      <w:proofErr w:type="spellEnd"/>
      <w:r>
        <w:t xml:space="preserve"> 2.08.01—89 Жилые здания. При температуре наружного воздуха выше параметров </w:t>
      </w:r>
      <w:r>
        <w:rPr>
          <w:i/>
        </w:rPr>
        <w:t>Б</w:t>
      </w:r>
      <w:r>
        <w:t xml:space="preserve"> автоматизированные системы отопления должны об</w:t>
      </w:r>
      <w:r>
        <w:t xml:space="preserve">еспечивать в помещениях квартир жилых зданий допустимые температуры воздуха в пределах, регламентируемых прил. 1, </w:t>
      </w:r>
      <w:proofErr w:type="spellStart"/>
      <w:r>
        <w:t>СНиП</w:t>
      </w:r>
      <w:proofErr w:type="spellEnd"/>
      <w:r>
        <w:t xml:space="preserve"> 2.04.05—86.</w:t>
      </w:r>
    </w:p>
    <w:p w:rsidR="00000000" w:rsidRDefault="00B81C70">
      <w:pPr>
        <w:ind w:firstLine="284"/>
        <w:jc w:val="both"/>
      </w:pPr>
      <w:r>
        <w:t xml:space="preserve">Тепловой поток системы отопления во всех случаях больше расчетных </w:t>
      </w:r>
      <w:proofErr w:type="spellStart"/>
      <w:r>
        <w:t>теплопотерь</w:t>
      </w:r>
      <w:proofErr w:type="spellEnd"/>
      <w:r>
        <w:t xml:space="preserve"> отапливаемого здания из-за неизбежного завышения поверхностей принимаемых к установке отопительных приборов (за счет округления их до ближайшего типоразмера или целого числа секций), теплоотдачи трубопроводов в </w:t>
      </w:r>
      <w:proofErr w:type="spellStart"/>
      <w:r>
        <w:t>неотапливаемых</w:t>
      </w:r>
      <w:proofErr w:type="spellEnd"/>
      <w:r>
        <w:t xml:space="preserve"> помещениях, увеличенных </w:t>
      </w:r>
      <w:proofErr w:type="spellStart"/>
      <w:r>
        <w:t>теплопотерь</w:t>
      </w:r>
      <w:proofErr w:type="spellEnd"/>
      <w:r>
        <w:t xml:space="preserve"> “</w:t>
      </w:r>
      <w:proofErr w:type="spellStart"/>
      <w:r>
        <w:t>зарадиаторными</w:t>
      </w:r>
      <w:proofErr w:type="spellEnd"/>
      <w:r>
        <w:t>” участками наружных ограж</w:t>
      </w:r>
      <w:r>
        <w:t xml:space="preserve">дений. В проектах, наряду с расчетными </w:t>
      </w:r>
      <w:proofErr w:type="spellStart"/>
      <w:r>
        <w:t>теплопотерями</w:t>
      </w:r>
      <w:proofErr w:type="spellEnd"/>
      <w:r>
        <w:t xml:space="preserve"> зданий, следует указывать величину теплового потока системы отопления.</w:t>
      </w:r>
    </w:p>
    <w:p w:rsidR="00000000" w:rsidRDefault="00B81C70">
      <w:pPr>
        <w:ind w:firstLine="284"/>
        <w:jc w:val="both"/>
      </w:pPr>
      <w:r>
        <w:t>Тепловой поток системы отопления</w:t>
      </w:r>
      <w:r>
        <w:rPr>
          <w:lang w:val="en-US"/>
        </w:rPr>
        <w:t xml:space="preserve"> </w:t>
      </w:r>
      <w:proofErr w:type="spellStart"/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c.o</w:t>
      </w:r>
      <w:proofErr w:type="spellEnd"/>
      <w:r>
        <w:rPr>
          <w:lang w:val="en-US"/>
        </w:rPr>
        <w:t>,</w:t>
      </w:r>
      <w:r>
        <w:t xml:space="preserve"> кВт, следует определять по формуле</w:t>
      </w:r>
    </w:p>
    <w:p w:rsidR="00000000" w:rsidRDefault="00B81C70">
      <w:pPr>
        <w:ind w:firstLine="284"/>
        <w:jc w:val="both"/>
      </w:pPr>
    </w:p>
    <w:p w:rsidR="00000000" w:rsidRDefault="00B81C70">
      <w:pPr>
        <w:ind w:firstLine="284"/>
        <w:jc w:val="right"/>
      </w:pPr>
      <w:proofErr w:type="spellStart"/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c.o</w:t>
      </w:r>
      <w:proofErr w:type="spellEnd"/>
      <w:r>
        <w:t xml:space="preserve"> </w:t>
      </w:r>
      <w:r>
        <w:rPr>
          <w:lang w:val="en-US"/>
        </w:rPr>
        <w:t>=</w:t>
      </w:r>
      <w:r>
        <w:t xml:space="preserve"> </w:t>
      </w:r>
      <w:proofErr w:type="spellStart"/>
      <w:r>
        <w:rPr>
          <w:i/>
          <w:lang w:val="en-US"/>
        </w:rPr>
        <w:t>Q</w:t>
      </w:r>
      <w:r>
        <w:rPr>
          <w:vertAlign w:val="subscript"/>
        </w:rPr>
        <w:t>т.р</w:t>
      </w:r>
      <w:proofErr w:type="spellEnd"/>
      <w:r>
        <w:t xml:space="preserve"> </w:t>
      </w:r>
      <w:r>
        <w:rPr>
          <w:lang w:val="en-US"/>
        </w:rPr>
        <w:sym w:font="Symbol" w:char="F062"/>
      </w:r>
      <w:r>
        <w:rPr>
          <w:vertAlign w:val="subscript"/>
        </w:rPr>
        <w:t>1</w:t>
      </w:r>
      <w:r>
        <w:t xml:space="preserve"> </w:t>
      </w:r>
      <w:r>
        <w:rPr>
          <w:lang w:val="en-US"/>
        </w:rPr>
        <w:sym w:font="Symbol" w:char="F062"/>
      </w:r>
      <w:r>
        <w:rPr>
          <w:vertAlign w:val="subscript"/>
          <w:lang w:val="en-US"/>
        </w:rPr>
        <w:t>2</w:t>
      </w:r>
      <w:r>
        <w:t xml:space="preserve"> </w:t>
      </w:r>
      <w:r>
        <w:rPr>
          <w:lang w:val="en-US"/>
        </w:rPr>
        <w:t>+</w:t>
      </w:r>
      <w:r>
        <w:t xml:space="preserve"> </w:t>
      </w:r>
      <w:proofErr w:type="spellStart"/>
      <w:r>
        <w:rPr>
          <w:i/>
          <w:lang w:val="en-US"/>
        </w:rPr>
        <w:t>Q</w:t>
      </w:r>
      <w:r>
        <w:rPr>
          <w:vertAlign w:val="subscript"/>
        </w:rPr>
        <w:t>д</w:t>
      </w:r>
      <w:proofErr w:type="spellEnd"/>
      <w:r>
        <w:t xml:space="preserve">, </w:t>
      </w:r>
      <w:r>
        <w:tab/>
      </w:r>
      <w:r>
        <w:tab/>
      </w:r>
      <w:r>
        <w:tab/>
        <w:t>(8)</w:t>
      </w:r>
    </w:p>
    <w:p w:rsidR="00000000" w:rsidRDefault="00B81C70">
      <w:pPr>
        <w:ind w:firstLine="284"/>
        <w:jc w:val="right"/>
      </w:pPr>
    </w:p>
    <w:p w:rsidR="00000000" w:rsidRDefault="00B81C70">
      <w:pPr>
        <w:ind w:firstLine="284"/>
        <w:jc w:val="both"/>
      </w:pPr>
      <w:r>
        <w:t>где</w:t>
      </w:r>
      <w:r>
        <w:rPr>
          <w:lang w:val="en-US"/>
        </w:rPr>
        <w:t xml:space="preserve"> </w:t>
      </w:r>
      <w:proofErr w:type="spellStart"/>
      <w:r>
        <w:rPr>
          <w:i/>
          <w:lang w:val="en-US"/>
        </w:rPr>
        <w:t>Q</w:t>
      </w:r>
      <w:r>
        <w:rPr>
          <w:vertAlign w:val="subscript"/>
        </w:rPr>
        <w:t>т.р</w:t>
      </w:r>
      <w:proofErr w:type="spellEnd"/>
      <w:r>
        <w:rPr>
          <w:smallCaps/>
        </w:rPr>
        <w:t xml:space="preserve"> — </w:t>
      </w:r>
      <w:r>
        <w:t xml:space="preserve">расчетные </w:t>
      </w:r>
      <w:proofErr w:type="spellStart"/>
      <w:r>
        <w:t>теплопотери</w:t>
      </w:r>
      <w:proofErr w:type="spellEnd"/>
      <w:r>
        <w:t xml:space="preserve"> отапливаемого здания, кВт;</w:t>
      </w:r>
      <w:r>
        <w:rPr>
          <w:lang w:val="en-US"/>
        </w:rPr>
        <w:t xml:space="preserve"> </w:t>
      </w:r>
      <w:r>
        <w:sym w:font="Symbol" w:char="F062"/>
      </w:r>
      <w:r>
        <w:rPr>
          <w:vertAlign w:val="subscript"/>
        </w:rPr>
        <w:t>1</w:t>
      </w:r>
      <w:r>
        <w:t xml:space="preserve"> — коэффициент, учитывающий теплоотдачу дополнительной площади принимаемых к установке отопительных приборов за счет округления сверх расчетной площади, определяют по следующим значениям:</w:t>
      </w:r>
    </w:p>
    <w:p w:rsidR="00000000" w:rsidRDefault="00B81C70">
      <w:pPr>
        <w:ind w:firstLine="284"/>
        <w:jc w:val="both"/>
      </w:pPr>
      <w:r>
        <w:t xml:space="preserve">Шаг номенклатурного ряда </w:t>
      </w:r>
    </w:p>
    <w:p w:rsidR="00000000" w:rsidRDefault="00B81C70">
      <w:pPr>
        <w:ind w:firstLine="284"/>
        <w:jc w:val="both"/>
      </w:pPr>
      <w:r>
        <w:t>отопи</w:t>
      </w:r>
      <w:r>
        <w:t>тельных приборов, кВт  . . . . . . . . 0,12; 0,15; 0,18; 0,21; 0,24</w:t>
      </w:r>
    </w:p>
    <w:p w:rsidR="00000000" w:rsidRDefault="00B81C70">
      <w:pPr>
        <w:ind w:firstLine="284"/>
        <w:jc w:val="both"/>
      </w:pPr>
      <w:r>
        <w:t xml:space="preserve">Значение коэффициента </w:t>
      </w:r>
      <w:r>
        <w:sym w:font="Symbol" w:char="F062"/>
      </w:r>
      <w:r>
        <w:rPr>
          <w:vertAlign w:val="subscript"/>
        </w:rPr>
        <w:t xml:space="preserve">1 </w:t>
      </w:r>
      <w:r>
        <w:t>. . . . . . . . . . . 1,02; 1,03; 1,04; 1,06; 1,08</w:t>
      </w:r>
    </w:p>
    <w:p w:rsidR="00000000" w:rsidRDefault="00B81C70">
      <w:pPr>
        <w:ind w:firstLine="284"/>
        <w:jc w:val="both"/>
      </w:pPr>
      <w:r>
        <w:sym w:font="Symbol" w:char="F062"/>
      </w:r>
      <w:r>
        <w:rPr>
          <w:vertAlign w:val="subscript"/>
        </w:rPr>
        <w:t>2</w:t>
      </w:r>
      <w:r>
        <w:t xml:space="preserve"> — коэффициент, учитывающий дополнительные </w:t>
      </w:r>
      <w:proofErr w:type="spellStart"/>
      <w:r>
        <w:t>теплопотери</w:t>
      </w:r>
      <w:proofErr w:type="spellEnd"/>
      <w:r>
        <w:t xml:space="preserve"> из-за размещения отопительных приборов у наружных ограждений, принимаемый по табл. 1;</w:t>
      </w:r>
    </w:p>
    <w:p w:rsidR="00000000" w:rsidRDefault="00B81C70">
      <w:pPr>
        <w:ind w:firstLine="284"/>
        <w:jc w:val="both"/>
      </w:pPr>
    </w:p>
    <w:p w:rsidR="00000000" w:rsidRDefault="00B81C70">
      <w:pPr>
        <w:ind w:firstLine="284"/>
        <w:jc w:val="right"/>
      </w:pPr>
      <w:r>
        <w:t>Таблица 1</w:t>
      </w:r>
    </w:p>
    <w:p w:rsidR="00000000" w:rsidRDefault="00B81C70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280"/>
        <w:gridCol w:w="1247"/>
        <w:gridCol w:w="1248"/>
        <w:gridCol w:w="1247"/>
        <w:gridCol w:w="12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</w:p>
        </w:tc>
        <w:tc>
          <w:tcPr>
            <w:tcW w:w="499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Отопительный прибор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both"/>
            </w:pPr>
            <w:r>
              <w:t>Коэффициент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радиатор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конвектор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both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чугунный секционный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стальной панельный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с кожухом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без кожуха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81C70">
            <w:pPr>
              <w:jc w:val="center"/>
            </w:pPr>
            <w:r>
              <w:sym w:font="Symbol" w:char="F062"/>
            </w:r>
            <w:r>
              <w:rPr>
                <w:vertAlign w:val="subscript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1,02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1,04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1,02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1,03</w:t>
            </w:r>
          </w:p>
        </w:tc>
      </w:tr>
    </w:tbl>
    <w:p w:rsidR="00000000" w:rsidRDefault="00B81C70">
      <w:pPr>
        <w:ind w:firstLine="284"/>
        <w:jc w:val="both"/>
        <w:rPr>
          <w:i/>
        </w:rPr>
      </w:pPr>
    </w:p>
    <w:p w:rsidR="00000000" w:rsidRDefault="00B81C70">
      <w:pPr>
        <w:ind w:firstLine="284"/>
        <w:jc w:val="both"/>
      </w:pPr>
      <w:proofErr w:type="spellStart"/>
      <w:r>
        <w:rPr>
          <w:i/>
          <w:lang w:val="en-US"/>
        </w:rPr>
        <w:t>Q</w:t>
      </w:r>
      <w:r>
        <w:rPr>
          <w:vertAlign w:val="subscript"/>
        </w:rPr>
        <w:t>д</w:t>
      </w:r>
      <w:proofErr w:type="spellEnd"/>
      <w:r>
        <w:t xml:space="preserve"> — дополнительные потери теплоты, связанные с остыванием теплоносителя</w:t>
      </w:r>
      <w:r>
        <w:t xml:space="preserve"> в подающих и обратных магистралях, проходящих в </w:t>
      </w:r>
      <w:proofErr w:type="spellStart"/>
      <w:r>
        <w:t>неотапливаемых</w:t>
      </w:r>
      <w:proofErr w:type="spellEnd"/>
      <w:r>
        <w:t xml:space="preserve"> помещениях, кВт. Величину</w:t>
      </w:r>
      <w:r>
        <w:rPr>
          <w:lang w:val="en-US"/>
        </w:rPr>
        <w:t xml:space="preserve"> </w:t>
      </w:r>
      <w:proofErr w:type="spellStart"/>
      <w:r>
        <w:rPr>
          <w:i/>
          <w:lang w:val="en-US"/>
        </w:rPr>
        <w:t>Q</w:t>
      </w:r>
      <w:r>
        <w:rPr>
          <w:vertAlign w:val="subscript"/>
        </w:rPr>
        <w:t>д</w:t>
      </w:r>
      <w:proofErr w:type="spellEnd"/>
      <w:r>
        <w:t xml:space="preserve"> рекомендуется определять при коэффициенте эффективности, изоляции 0,75, по табл. 2.</w:t>
      </w:r>
    </w:p>
    <w:p w:rsidR="00000000" w:rsidRDefault="00B81C70">
      <w:pPr>
        <w:ind w:firstLine="284"/>
        <w:jc w:val="both"/>
      </w:pPr>
    </w:p>
    <w:p w:rsidR="00000000" w:rsidRDefault="00B81C70">
      <w:pPr>
        <w:ind w:firstLine="284"/>
        <w:jc w:val="right"/>
      </w:pPr>
      <w:r>
        <w:t>Таблица 2</w:t>
      </w:r>
    </w:p>
    <w:p w:rsidR="00000000" w:rsidRDefault="00B81C70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40"/>
        <w:gridCol w:w="935"/>
        <w:gridCol w:w="709"/>
        <w:gridCol w:w="709"/>
        <w:gridCol w:w="709"/>
        <w:gridCol w:w="567"/>
        <w:gridCol w:w="708"/>
        <w:gridCol w:w="540"/>
        <w:gridCol w:w="621"/>
        <w:gridCol w:w="513"/>
        <w:gridCol w:w="594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proofErr w:type="spellStart"/>
            <w:r>
              <w:rPr>
                <w:i/>
                <w:lang w:val="en-US"/>
              </w:rPr>
              <w:t>t</w:t>
            </w:r>
            <w:r>
              <w:rPr>
                <w:i/>
                <w:vertAlign w:val="subscript"/>
                <w:lang w:val="en-US"/>
              </w:rPr>
              <w:t>r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BE"/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t</w:t>
            </w:r>
            <w:r>
              <w:rPr>
                <w:i/>
                <w:vertAlign w:val="subscript"/>
              </w:rPr>
              <w:t>в</w:t>
            </w:r>
            <w:proofErr w:type="spellEnd"/>
            <w:r>
              <w:t>*</w:t>
            </w:r>
          </w:p>
        </w:tc>
        <w:tc>
          <w:tcPr>
            <w:tcW w:w="731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Теплопередача 1 м изолированной трубы, Вт/м, при условном диаметре,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right"/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70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80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right"/>
            </w:pPr>
            <w:r>
              <w:t>50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33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40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45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53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right"/>
            </w:pPr>
            <w:r>
              <w:t>55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22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27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30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36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45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51</w:t>
            </w:r>
          </w:p>
        </w:tc>
        <w:tc>
          <w:tcPr>
            <w:tcW w:w="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60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73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right"/>
            </w:pPr>
            <w:r>
              <w:t>60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30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34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41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50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57</w:t>
            </w:r>
          </w:p>
        </w:tc>
        <w:tc>
          <w:tcPr>
            <w:tcW w:w="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67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85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right"/>
            </w:pPr>
            <w:r>
              <w:t>65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22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27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34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37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45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56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63</w:t>
            </w:r>
          </w:p>
        </w:tc>
        <w:tc>
          <w:tcPr>
            <w:tcW w:w="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76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91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right"/>
            </w:pPr>
            <w:r>
              <w:t>70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21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30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36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41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60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70</w:t>
            </w:r>
          </w:p>
        </w:tc>
        <w:tc>
          <w:tcPr>
            <w:tcW w:w="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82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right"/>
            </w:pPr>
            <w:r>
              <w:t>75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22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27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33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39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4</w:t>
            </w:r>
            <w:r>
              <w:t>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55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66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76</w:t>
            </w:r>
          </w:p>
        </w:tc>
        <w:tc>
          <w:tcPr>
            <w:tcW w:w="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89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109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right"/>
            </w:pPr>
            <w:r>
              <w:t>80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29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35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43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48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58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72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81</w:t>
            </w:r>
          </w:p>
        </w:tc>
        <w:tc>
          <w:tcPr>
            <w:tcW w:w="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98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119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right"/>
            </w:pPr>
            <w:r>
              <w:t>85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26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31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36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46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52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63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78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88</w:t>
            </w:r>
          </w:p>
        </w:tc>
        <w:tc>
          <w:tcPr>
            <w:tcW w:w="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106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127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right"/>
            </w:pPr>
            <w:r>
              <w:t>90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28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34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41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50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56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67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84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95</w:t>
            </w:r>
          </w:p>
        </w:tc>
        <w:tc>
          <w:tcPr>
            <w:tcW w:w="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113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137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right"/>
            </w:pPr>
            <w:r>
              <w:t>95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30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36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43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53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59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72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89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101</w:t>
            </w:r>
          </w:p>
        </w:tc>
        <w:tc>
          <w:tcPr>
            <w:tcW w:w="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121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146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right"/>
            </w:pPr>
            <w:r>
              <w:t>100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31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38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46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57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64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78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95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108</w:t>
            </w:r>
          </w:p>
        </w:tc>
        <w:tc>
          <w:tcPr>
            <w:tcW w:w="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129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156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right"/>
            </w:pPr>
            <w:r>
              <w:t>105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34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42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60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67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83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101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115</w:t>
            </w:r>
          </w:p>
        </w:tc>
        <w:tc>
          <w:tcPr>
            <w:tcW w:w="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137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166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right"/>
            </w:pPr>
            <w:r>
              <w:t>110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36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44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52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65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72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87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108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122</w:t>
            </w:r>
          </w:p>
        </w:tc>
        <w:tc>
          <w:tcPr>
            <w:tcW w:w="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145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177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right"/>
            </w:pPr>
            <w:r>
              <w:t>115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38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46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56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69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77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92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114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129</w:t>
            </w:r>
          </w:p>
        </w:tc>
        <w:tc>
          <w:tcPr>
            <w:tcW w:w="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155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186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right"/>
            </w:pPr>
            <w:r>
              <w:t>120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41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49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58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72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80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98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120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136</w:t>
            </w:r>
          </w:p>
        </w:tc>
        <w:tc>
          <w:tcPr>
            <w:tcW w:w="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163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196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229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right"/>
            </w:pPr>
            <w:r>
              <w:t>125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42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51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62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76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85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102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127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144</w:t>
            </w:r>
          </w:p>
        </w:tc>
        <w:tc>
          <w:tcPr>
            <w:tcW w:w="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171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207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241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right"/>
            </w:pPr>
            <w:r>
              <w:t>130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44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53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65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80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88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108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132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151</w:t>
            </w:r>
          </w:p>
        </w:tc>
        <w:tc>
          <w:tcPr>
            <w:tcW w:w="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180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217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252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right"/>
            </w:pPr>
            <w:r>
              <w:t>135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47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57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67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84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93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113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139</w:t>
            </w:r>
          </w:p>
        </w:tc>
        <w:tc>
          <w:tcPr>
            <w:tcW w:w="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158</w:t>
            </w:r>
          </w:p>
        </w:tc>
        <w:tc>
          <w:tcPr>
            <w:tcW w:w="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188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228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265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right"/>
            </w:pPr>
            <w:r>
              <w:t>140</w:t>
            </w:r>
          </w:p>
        </w:tc>
        <w:tc>
          <w:tcPr>
            <w:tcW w:w="9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49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59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71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87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98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119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145</w:t>
            </w:r>
          </w:p>
        </w:tc>
        <w:tc>
          <w:tcPr>
            <w:tcW w:w="6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165</w:t>
            </w:r>
          </w:p>
        </w:tc>
        <w:tc>
          <w:tcPr>
            <w:tcW w:w="5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198</w:t>
            </w:r>
          </w:p>
        </w:tc>
        <w:tc>
          <w:tcPr>
            <w:tcW w:w="5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238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81C70">
            <w:pPr>
              <w:jc w:val="center"/>
            </w:pPr>
            <w:r>
              <w:t>278</w:t>
            </w:r>
          </w:p>
        </w:tc>
      </w:tr>
    </w:tbl>
    <w:p w:rsidR="00000000" w:rsidRDefault="00B81C70">
      <w:pPr>
        <w:ind w:firstLine="284"/>
        <w:jc w:val="both"/>
      </w:pPr>
    </w:p>
    <w:p w:rsidR="00000000" w:rsidRDefault="00B81C70">
      <w:pPr>
        <w:ind w:firstLine="284"/>
        <w:jc w:val="both"/>
      </w:pPr>
      <w:r>
        <w:t>*</w:t>
      </w:r>
      <w:proofErr w:type="spellStart"/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r</w:t>
      </w:r>
      <w:proofErr w:type="spellEnd"/>
      <w:r>
        <w:rPr>
          <w:i/>
        </w:rPr>
        <w:t xml:space="preserve"> —</w:t>
      </w:r>
      <w:r>
        <w:t xml:space="preserve"> температура теплоносителя на входе в систему отопления (для подающих трубопроводов) или на выходе из нее (для обратных трубопроводов), °С; </w:t>
      </w:r>
      <w:proofErr w:type="spellStart"/>
      <w:r>
        <w:rPr>
          <w:i/>
          <w:lang w:val="en-US"/>
        </w:rPr>
        <w:t>t</w:t>
      </w:r>
      <w:r>
        <w:rPr>
          <w:i/>
          <w:vertAlign w:val="subscript"/>
        </w:rPr>
        <w:t>в</w:t>
      </w:r>
      <w:proofErr w:type="spellEnd"/>
      <w:r>
        <w:t xml:space="preserve"> — температура воздуха помещений, в которых проложены трубопроводы, °С; определяют по тепловому балансу этих помещений (см. разд. 2).</w:t>
      </w:r>
    </w:p>
    <w:p w:rsidR="00000000" w:rsidRDefault="00B81C70">
      <w:pPr>
        <w:ind w:firstLine="284"/>
        <w:jc w:val="both"/>
      </w:pPr>
      <w:r>
        <w:rPr>
          <w:b/>
        </w:rPr>
        <w:t>3.2.</w:t>
      </w:r>
      <w:r>
        <w:t xml:space="preserve"> Расчетный расход теплоносителя в стояках (ветвях) системы отопления </w:t>
      </w:r>
      <w:proofErr w:type="spellStart"/>
      <w:r>
        <w:rPr>
          <w:i/>
          <w:lang w:val="en-US"/>
        </w:rPr>
        <w:t>G</w:t>
      </w:r>
      <w:r>
        <w:rPr>
          <w:i/>
          <w:vertAlign w:val="subscript"/>
        </w:rPr>
        <w:t>ст</w:t>
      </w:r>
      <w:proofErr w:type="spellEnd"/>
      <w:r>
        <w:t>, кг/ч, следует определять по формуле</w:t>
      </w:r>
    </w:p>
    <w:p w:rsidR="00000000" w:rsidRDefault="00B81C70">
      <w:pPr>
        <w:ind w:firstLine="284"/>
        <w:jc w:val="right"/>
      </w:pPr>
      <w:r>
        <w:rPr>
          <w:position w:val="-28"/>
          <w:lang w:val="en-US"/>
        </w:rPr>
        <w:object w:dxaOrig="1420" w:dyaOrig="680">
          <v:shape id="_x0000_i1029" type="#_x0000_t75" style="width:71.25pt;height:33.75pt" o:ole="">
            <v:imagedata r:id="rId11" o:title=""/>
          </v:shape>
          <o:OLEObject Type="Embed" ProgID="Equation.3" ShapeID="_x0000_i1029" DrawAspect="Content" ObjectID="_1427212137" r:id="rId12"/>
        </w:object>
      </w:r>
      <w:r>
        <w:t xml:space="preserve">, </w:t>
      </w:r>
      <w:r>
        <w:tab/>
      </w:r>
      <w:r>
        <w:tab/>
      </w:r>
      <w:r>
        <w:tab/>
      </w:r>
      <w:r>
        <w:tab/>
        <w:t>(9)</w:t>
      </w:r>
    </w:p>
    <w:p w:rsidR="00000000" w:rsidRDefault="00B81C70">
      <w:pPr>
        <w:ind w:firstLine="284"/>
        <w:jc w:val="both"/>
      </w:pPr>
      <w:r>
        <w:t xml:space="preserve">где </w:t>
      </w:r>
      <w:proofErr w:type="spellStart"/>
      <w:r>
        <w:rPr>
          <w:i/>
          <w:lang w:val="en-US"/>
        </w:rPr>
        <w:t>Q</w:t>
      </w:r>
      <w:r>
        <w:rPr>
          <w:i/>
          <w:vertAlign w:val="subscript"/>
        </w:rPr>
        <w:t>ст</w:t>
      </w:r>
      <w:proofErr w:type="spellEnd"/>
      <w:r>
        <w:t xml:space="preserve"> — суммарные </w:t>
      </w:r>
      <w:proofErr w:type="spellStart"/>
      <w:r>
        <w:t>тепло</w:t>
      </w:r>
      <w:r>
        <w:t>потери</w:t>
      </w:r>
      <w:proofErr w:type="spellEnd"/>
      <w:r>
        <w:t xml:space="preserve"> помещений, обслуживаемых стояком (ветвью) системы отопления, кВт; </w:t>
      </w:r>
      <w:proofErr w:type="spellStart"/>
      <w:r>
        <w:rPr>
          <w:i/>
        </w:rPr>
        <w:t>с</w:t>
      </w:r>
      <w:r>
        <w:rPr>
          <w:i/>
          <w:vertAlign w:val="subscript"/>
        </w:rPr>
        <w:t>в</w:t>
      </w:r>
      <w:proofErr w:type="spellEnd"/>
      <w:r>
        <w:t xml:space="preserve"> — удельная теплоемкость воды, </w:t>
      </w:r>
      <w:proofErr w:type="spellStart"/>
      <w:r>
        <w:t>кДж</w:t>
      </w:r>
      <w:proofErr w:type="spellEnd"/>
      <w:r>
        <w:t>/(кг</w:t>
      </w:r>
      <w:r>
        <w:sym w:font="Symbol" w:char="F0D7"/>
      </w:r>
      <w:r>
        <w:t xml:space="preserve">°С); </w:t>
      </w:r>
      <w:r>
        <w:sym w:font="Symbol" w:char="F044"/>
      </w:r>
      <w:r>
        <w:rPr>
          <w:i/>
          <w:lang w:val="en-US"/>
        </w:rPr>
        <w:t>t</w:t>
      </w:r>
      <w:r>
        <w:rPr>
          <w:i/>
        </w:rPr>
        <w:t xml:space="preserve"> — </w:t>
      </w:r>
      <w:r>
        <w:t xml:space="preserve">разность температур теплоносителя на входе и выходе из стояка (ветви). При предварительном расчете </w:t>
      </w:r>
      <w:r>
        <w:sym w:font="Symbol" w:char="F044"/>
      </w:r>
      <w:r>
        <w:rPr>
          <w:i/>
          <w:lang w:val="en-US"/>
        </w:rPr>
        <w:t>t</w:t>
      </w:r>
      <w:r>
        <w:t xml:space="preserve"> рекомендуется принимать на 1 °С меньше расчетного перепада температур теплоносителя в системе отопления.</w:t>
      </w:r>
    </w:p>
    <w:p w:rsidR="00000000" w:rsidRDefault="00B81C70">
      <w:pPr>
        <w:ind w:firstLine="284"/>
        <w:jc w:val="both"/>
      </w:pPr>
      <w:r>
        <w:rPr>
          <w:b/>
        </w:rPr>
        <w:t>3.3.</w:t>
      </w:r>
      <w:r>
        <w:t xml:space="preserve"> Тепловой поток</w:t>
      </w:r>
      <w:r>
        <w:rPr>
          <w:lang w:val="en-US"/>
        </w:rPr>
        <w:t xml:space="preserve"> </w:t>
      </w:r>
      <w:r>
        <w:rPr>
          <w:i/>
          <w:lang w:val="en-US"/>
        </w:rPr>
        <w:t>Q</w:t>
      </w:r>
      <w:r>
        <w:t xml:space="preserve"> отопительного прибора определяют по формуле</w:t>
      </w:r>
    </w:p>
    <w:p w:rsidR="00000000" w:rsidRDefault="00B81C70">
      <w:pPr>
        <w:ind w:firstLine="284"/>
        <w:jc w:val="both"/>
      </w:pPr>
    </w:p>
    <w:p w:rsidR="00000000" w:rsidRDefault="00B81C70">
      <w:pPr>
        <w:ind w:firstLine="284"/>
        <w:jc w:val="right"/>
      </w:pPr>
      <w:r>
        <w:rPr>
          <w:position w:val="-26"/>
        </w:rPr>
        <w:object w:dxaOrig="3140" w:dyaOrig="720">
          <v:shape id="_x0000_i1030" type="#_x0000_t75" style="width:156.75pt;height:36pt" o:ole="">
            <v:imagedata r:id="rId13" o:title=""/>
          </v:shape>
          <o:OLEObject Type="Embed" ProgID="Equation.3" ShapeID="_x0000_i1030" DrawAspect="Content" ObjectID="_1427212138" r:id="rId14"/>
        </w:object>
      </w:r>
      <w:r>
        <w:t xml:space="preserve">, </w:t>
      </w:r>
      <w:r>
        <w:tab/>
      </w:r>
      <w:r>
        <w:tab/>
        <w:t>(10)</w:t>
      </w:r>
    </w:p>
    <w:p w:rsidR="00000000" w:rsidRDefault="00B81C70">
      <w:pPr>
        <w:ind w:firstLine="284"/>
        <w:jc w:val="right"/>
      </w:pPr>
    </w:p>
    <w:p w:rsidR="00000000" w:rsidRDefault="00B81C70">
      <w:pPr>
        <w:ind w:firstLine="284"/>
        <w:jc w:val="both"/>
      </w:pPr>
      <w:r>
        <w:t>где</w:t>
      </w:r>
      <w:r>
        <w:rPr>
          <w:lang w:val="en-US"/>
        </w:rPr>
        <w:t xml:space="preserve"> </w:t>
      </w:r>
      <w:proofErr w:type="spellStart"/>
      <w:r>
        <w:rPr>
          <w:i/>
          <w:lang w:val="en-US"/>
        </w:rPr>
        <w:t>Q</w:t>
      </w:r>
      <w:r>
        <w:rPr>
          <w:i/>
          <w:vertAlign w:val="subscript"/>
        </w:rPr>
        <w:t>н.п</w:t>
      </w:r>
      <w:proofErr w:type="spellEnd"/>
      <w:r>
        <w:t xml:space="preserve"> — номинальный тепловой поток отопительного прибора, кВт; </w:t>
      </w:r>
      <w:proofErr w:type="spellStart"/>
      <w:r>
        <w:rPr>
          <w:i/>
        </w:rPr>
        <w:t>п</w:t>
      </w:r>
      <w:proofErr w:type="spellEnd"/>
      <w:r>
        <w:rPr>
          <w:i/>
        </w:rPr>
        <w:t xml:space="preserve"> </w:t>
      </w:r>
      <w:r>
        <w:t xml:space="preserve">и </w:t>
      </w:r>
      <w:proofErr w:type="spellStart"/>
      <w:r>
        <w:rPr>
          <w:i/>
        </w:rPr>
        <w:t>р</w:t>
      </w:r>
      <w:proofErr w:type="spellEnd"/>
      <w:r>
        <w:t xml:space="preserve"> — показатели</w:t>
      </w:r>
      <w:r>
        <w:t xml:space="preserve"> степени соответственно при относительных температурном напоре и расходе теплоносителя; </w:t>
      </w:r>
      <w:r>
        <w:sym w:font="Symbol" w:char="F062"/>
      </w:r>
      <w:r>
        <w:rPr>
          <w:vertAlign w:val="subscript"/>
        </w:rPr>
        <w:t>3</w:t>
      </w:r>
      <w:r>
        <w:t xml:space="preserve"> — безразмерный коэффициент, учитывающий число секций в радиаторе (только для чугунных секционных радиаторов); </w:t>
      </w:r>
      <w:r>
        <w:sym w:font="Symbol" w:char="F062"/>
      </w:r>
      <w:r>
        <w:rPr>
          <w:vertAlign w:val="subscript"/>
        </w:rPr>
        <w:t>4</w:t>
      </w:r>
      <w:r>
        <w:t xml:space="preserve"> — безразмерный коэффициент, учитывающий способ установки отопительного прибора; </w:t>
      </w:r>
      <w:r>
        <w:rPr>
          <w:i/>
          <w:lang w:val="en-US"/>
        </w:rPr>
        <w:t>b</w:t>
      </w:r>
      <w:r>
        <w:rPr>
          <w:i/>
        </w:rPr>
        <w:t xml:space="preserve"> —</w:t>
      </w:r>
      <w:r>
        <w:t xml:space="preserve"> безразмерный коэффициент на расчетное атмосферное давление; </w:t>
      </w:r>
      <w:proofErr w:type="spellStart"/>
      <w:r>
        <w:rPr>
          <w:i/>
        </w:rPr>
        <w:t>с</w:t>
      </w:r>
      <w:r>
        <w:rPr>
          <w:i/>
          <w:vertAlign w:val="subscript"/>
        </w:rPr>
        <w:t>р</w:t>
      </w:r>
      <w:proofErr w:type="spellEnd"/>
      <w:r>
        <w:rPr>
          <w:i/>
        </w:rPr>
        <w:t xml:space="preserve"> —</w:t>
      </w:r>
      <w:r>
        <w:t xml:space="preserve"> поправочный коэффициент, учитывающий схему присоединения отопительного прибора и изменение показателя степени </w:t>
      </w:r>
      <w:proofErr w:type="spellStart"/>
      <w:r>
        <w:rPr>
          <w:i/>
        </w:rPr>
        <w:t>р</w:t>
      </w:r>
      <w:proofErr w:type="spellEnd"/>
      <w:r>
        <w:t xml:space="preserve"> в различных диапазонах расхода воды;</w:t>
      </w:r>
      <w:r>
        <w:rPr>
          <w:lang w:val="en-US"/>
        </w:rPr>
        <w:t xml:space="preserve"> </w:t>
      </w:r>
      <w:r>
        <w:rPr>
          <w:i/>
          <w:lang w:val="en-US"/>
        </w:rPr>
        <w:sym w:font="Symbol" w:char="F079"/>
      </w:r>
      <w:r>
        <w:rPr>
          <w:i/>
          <w:vertAlign w:val="subscript"/>
        </w:rPr>
        <w:t>1</w:t>
      </w:r>
      <w:r>
        <w:t xml:space="preserve"> — коэфф</w:t>
      </w:r>
      <w:r>
        <w:t xml:space="preserve">ициент, учитывающий уменьшение теплового потока при движении теплоносителя по схеме “снизу—вверх”; </w:t>
      </w:r>
      <w:r>
        <w:rPr>
          <w:i/>
        </w:rPr>
        <w:t>М</w:t>
      </w:r>
      <w:r>
        <w:t xml:space="preserve">— расход воды через отопительный прибор (для конвекторов — по каждой трубке), кг/с; </w:t>
      </w:r>
      <w:r>
        <w:rPr>
          <w:i/>
        </w:rPr>
        <w:sym w:font="Symbol" w:char="F071"/>
      </w:r>
      <w:r>
        <w:rPr>
          <w:i/>
        </w:rPr>
        <w:t xml:space="preserve"> </w:t>
      </w:r>
      <w:r>
        <w:t>—температурный напор, °С.</w:t>
      </w:r>
    </w:p>
    <w:p w:rsidR="00000000" w:rsidRDefault="00B81C70">
      <w:pPr>
        <w:ind w:firstLine="284"/>
        <w:jc w:val="right"/>
      </w:pPr>
      <w:r>
        <w:rPr>
          <w:position w:val="-22"/>
        </w:rPr>
        <w:object w:dxaOrig="2840" w:dyaOrig="660">
          <v:shape id="_x0000_i1031" type="#_x0000_t75" style="width:141.75pt;height:33pt" o:ole="">
            <v:imagedata r:id="rId15" o:title=""/>
          </v:shape>
          <o:OLEObject Type="Embed" ProgID="Equation.3" ShapeID="_x0000_i1031" DrawAspect="Content" ObjectID="_1427212139" r:id="rId16"/>
        </w:object>
      </w:r>
      <w:r>
        <w:t xml:space="preserve">, </w:t>
      </w:r>
      <w:r>
        <w:tab/>
      </w:r>
      <w:r>
        <w:tab/>
        <w:t>(11)</w:t>
      </w:r>
    </w:p>
    <w:p w:rsidR="00000000" w:rsidRDefault="00B81C70">
      <w:pPr>
        <w:ind w:firstLine="284"/>
        <w:jc w:val="both"/>
      </w:pPr>
      <w:r>
        <w:t>где</w:t>
      </w:r>
      <w:r>
        <w:rPr>
          <w:lang w:val="en-US"/>
        </w:rPr>
        <w:t xml:space="preserve"> </w:t>
      </w:r>
      <w:proofErr w:type="spellStart"/>
      <w:r>
        <w:rPr>
          <w:i/>
          <w:lang w:val="en-US"/>
        </w:rPr>
        <w:t>t</w:t>
      </w:r>
      <w:r>
        <w:rPr>
          <w:i/>
          <w:vertAlign w:val="subscript"/>
        </w:rPr>
        <w:t>н</w:t>
      </w:r>
      <w:proofErr w:type="spellEnd"/>
      <w:r>
        <w:t xml:space="preserve"> и </w:t>
      </w:r>
      <w:proofErr w:type="spellStart"/>
      <w:r>
        <w:rPr>
          <w:i/>
          <w:lang w:val="en-US"/>
        </w:rPr>
        <w:t>t</w:t>
      </w:r>
      <w:r>
        <w:rPr>
          <w:i/>
          <w:vertAlign w:val="subscript"/>
        </w:rPr>
        <w:t>к</w:t>
      </w:r>
      <w:proofErr w:type="spellEnd"/>
      <w:r>
        <w:t xml:space="preserve"> — температура теплоносителя на входе и выходе из отопительного прибора, °С; </w:t>
      </w:r>
      <w:r>
        <w:sym w:font="Symbol" w:char="F044"/>
      </w:r>
      <w:proofErr w:type="spellStart"/>
      <w:r>
        <w:rPr>
          <w:i/>
          <w:lang w:val="en-US"/>
        </w:rPr>
        <w:t>t</w:t>
      </w:r>
      <w:r>
        <w:rPr>
          <w:i/>
          <w:vertAlign w:val="subscript"/>
        </w:rPr>
        <w:t>пр</w:t>
      </w:r>
      <w:proofErr w:type="spellEnd"/>
      <w:r>
        <w:t xml:space="preserve"> — перепад температур теплоносителя на входе и выходе из отопительного прибора, °С; </w:t>
      </w:r>
      <w:proofErr w:type="spellStart"/>
      <w:r>
        <w:rPr>
          <w:i/>
          <w:lang w:val="en-US"/>
        </w:rPr>
        <w:t>t</w:t>
      </w:r>
      <w:r>
        <w:rPr>
          <w:i/>
          <w:vertAlign w:val="subscript"/>
        </w:rPr>
        <w:t>в</w:t>
      </w:r>
      <w:proofErr w:type="spellEnd"/>
      <w:r>
        <w:rPr>
          <w:i/>
        </w:rPr>
        <w:t xml:space="preserve"> —</w:t>
      </w:r>
      <w:r>
        <w:t xml:space="preserve"> расчетная температура воздуха отапливаемого помещения, °С.</w:t>
      </w:r>
    </w:p>
    <w:p w:rsidR="00000000" w:rsidRDefault="00B81C70">
      <w:pPr>
        <w:ind w:firstLine="284"/>
        <w:jc w:val="both"/>
      </w:pPr>
      <w:r>
        <w:t>Значения</w:t>
      </w:r>
      <w:r>
        <w:rPr>
          <w:lang w:val="en-US"/>
        </w:rPr>
        <w:t xml:space="preserve"> </w:t>
      </w:r>
      <w:proofErr w:type="spellStart"/>
      <w:r>
        <w:rPr>
          <w:i/>
          <w:lang w:val="en-US"/>
        </w:rPr>
        <w:t>Q</w:t>
      </w:r>
      <w:r>
        <w:rPr>
          <w:i/>
          <w:vertAlign w:val="subscript"/>
        </w:rPr>
        <w:t>н.п</w:t>
      </w:r>
      <w:proofErr w:type="spellEnd"/>
      <w:r>
        <w:rPr>
          <w:lang w:val="en-US"/>
        </w:rPr>
        <w:t>,</w:t>
      </w:r>
      <w:r>
        <w:t xml:space="preserve"> </w:t>
      </w:r>
      <w:proofErr w:type="spellStart"/>
      <w:r>
        <w:rPr>
          <w:i/>
        </w:rPr>
        <w:t>п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р</w:t>
      </w:r>
      <w:proofErr w:type="spellEnd"/>
      <w:r>
        <w:rPr>
          <w:i/>
        </w:rPr>
        <w:t>,</w:t>
      </w:r>
      <w:r>
        <w:t xml:space="preserve"> </w:t>
      </w:r>
      <w:r>
        <w:rPr>
          <w:i/>
        </w:rPr>
        <w:sym w:font="Symbol" w:char="F062"/>
      </w:r>
      <w:r>
        <w:rPr>
          <w:i/>
          <w:vertAlign w:val="subscript"/>
        </w:rPr>
        <w:t>3</w:t>
      </w:r>
      <w:r>
        <w:t xml:space="preserve">, </w:t>
      </w:r>
      <w:r>
        <w:rPr>
          <w:i/>
          <w:lang w:val="en-US"/>
        </w:rPr>
        <w:t>b</w:t>
      </w:r>
      <w:r>
        <w:rPr>
          <w:i/>
        </w:rPr>
        <w:t xml:space="preserve">, </w:t>
      </w:r>
      <w:proofErr w:type="spellStart"/>
      <w:r>
        <w:rPr>
          <w:i/>
        </w:rPr>
        <w:t>с</w:t>
      </w:r>
      <w:r>
        <w:rPr>
          <w:i/>
          <w:vertAlign w:val="subscript"/>
        </w:rPr>
        <w:t>р</w:t>
      </w:r>
      <w:proofErr w:type="spellEnd"/>
      <w:r>
        <w:rPr>
          <w:i/>
        </w:rPr>
        <w:t>,</w:t>
      </w:r>
      <w:r>
        <w:rPr>
          <w:i/>
        </w:rPr>
        <w:t xml:space="preserve"> </w:t>
      </w:r>
      <w:r>
        <w:rPr>
          <w:i/>
          <w:lang w:val="en-US"/>
        </w:rPr>
        <w:sym w:font="Symbol" w:char="F079"/>
      </w:r>
      <w:r>
        <w:rPr>
          <w:i/>
          <w:vertAlign w:val="subscript"/>
        </w:rPr>
        <w:t>1</w:t>
      </w:r>
      <w:r>
        <w:t xml:space="preserve">  следует принимать по информационным выпускам институтов </w:t>
      </w:r>
      <w:proofErr w:type="spellStart"/>
      <w:r>
        <w:t>Минстройматериалов</w:t>
      </w:r>
      <w:proofErr w:type="spellEnd"/>
      <w:r>
        <w:t xml:space="preserve"> СССР, справочникам, каталогам и др.</w:t>
      </w:r>
    </w:p>
    <w:p w:rsidR="00000000" w:rsidRDefault="00B81C70">
      <w:pPr>
        <w:ind w:firstLine="284"/>
        <w:jc w:val="both"/>
      </w:pPr>
      <w:r>
        <w:t>Для наиболее массовых отопительных приборов необходимая информация содержится в следующей литературе:</w:t>
      </w:r>
    </w:p>
    <w:p w:rsidR="00000000" w:rsidRDefault="00B81C70">
      <w:pPr>
        <w:ind w:firstLine="284"/>
        <w:jc w:val="both"/>
      </w:pPr>
      <w:r>
        <w:t xml:space="preserve">Рекомендации по </w:t>
      </w:r>
      <w:proofErr w:type="spellStart"/>
      <w:r>
        <w:t>теплогидравлическому</w:t>
      </w:r>
      <w:proofErr w:type="spellEnd"/>
      <w:r>
        <w:t xml:space="preserve"> расчету, монтажу и эксплуатации однотрубных вертикальных систем водяного отопления с настенными конвекторами “Комфорт 20”/ЦНИИЭП жилища, 1980;</w:t>
      </w:r>
    </w:p>
    <w:p w:rsidR="00000000" w:rsidRDefault="00B81C70">
      <w:pPr>
        <w:ind w:firstLine="284"/>
        <w:jc w:val="both"/>
      </w:pPr>
      <w:r>
        <w:t xml:space="preserve">Рекомендации по </w:t>
      </w:r>
      <w:proofErr w:type="spellStart"/>
      <w:r>
        <w:t>теплогидравлическому</w:t>
      </w:r>
      <w:proofErr w:type="spellEnd"/>
      <w:r>
        <w:t xml:space="preserve"> расчету, монтажу и эксплуатации систем водяного отопления с настенными конвек</w:t>
      </w:r>
      <w:r>
        <w:t>торами без кожухов типов “Аккорд” и “Север”/НИИ сантехники, 1983;</w:t>
      </w:r>
    </w:p>
    <w:p w:rsidR="00000000" w:rsidRDefault="00B81C70">
      <w:pPr>
        <w:ind w:firstLine="284"/>
        <w:jc w:val="both"/>
      </w:pPr>
      <w:r>
        <w:t xml:space="preserve">Рекомендации по </w:t>
      </w:r>
      <w:proofErr w:type="spellStart"/>
      <w:r>
        <w:t>теплогидравлическому</w:t>
      </w:r>
      <w:proofErr w:type="spellEnd"/>
      <w:r>
        <w:t xml:space="preserve"> расчету, монтажу и эксплуатации систем водяного отопления со стальными конвекторами типа “Универсал” и секционными чугунными радиаторами типа МС/НИИ сантехники, 1986;</w:t>
      </w:r>
    </w:p>
    <w:p w:rsidR="00000000" w:rsidRDefault="00B81C70">
      <w:pPr>
        <w:ind w:firstLine="284"/>
        <w:jc w:val="both"/>
      </w:pPr>
      <w:r>
        <w:t>Методика определения номинального теплового потока отопительных приборов при теплоносителе воде/НИИ сантехники, 1984.</w:t>
      </w:r>
    </w:p>
    <w:p w:rsidR="00000000" w:rsidRDefault="00B81C70">
      <w:pPr>
        <w:ind w:firstLine="284"/>
        <w:jc w:val="both"/>
      </w:pPr>
      <w:r>
        <w:rPr>
          <w:b/>
        </w:rPr>
        <w:t>3.4.</w:t>
      </w:r>
      <w:r>
        <w:t xml:space="preserve"> Соотношение эквивалентных квадратных метров (</w:t>
      </w:r>
      <w:proofErr w:type="spellStart"/>
      <w:r>
        <w:t>экм</w:t>
      </w:r>
      <w:proofErr w:type="spellEnd"/>
      <w:r>
        <w:t>) и киловатт рекомендуется принимать:</w:t>
      </w:r>
    </w:p>
    <w:p w:rsidR="00000000" w:rsidRDefault="00B81C70">
      <w:pPr>
        <w:ind w:firstLine="284"/>
        <w:jc w:val="both"/>
      </w:pPr>
      <w:r>
        <w:t xml:space="preserve">для радиаторов и конвекторов без </w:t>
      </w:r>
      <w:r>
        <w:t xml:space="preserve">кожуха 1 </w:t>
      </w:r>
      <w:proofErr w:type="spellStart"/>
      <w:r>
        <w:t>экм</w:t>
      </w:r>
      <w:proofErr w:type="spellEnd"/>
      <w:r>
        <w:t xml:space="preserve"> — 0,56 кВт, </w:t>
      </w:r>
    </w:p>
    <w:p w:rsidR="00000000" w:rsidRDefault="00B81C70">
      <w:pPr>
        <w:ind w:firstLine="284"/>
        <w:jc w:val="both"/>
      </w:pPr>
      <w:r>
        <w:t xml:space="preserve">для конвекторов с кожухом 1 </w:t>
      </w:r>
      <w:proofErr w:type="spellStart"/>
      <w:r>
        <w:t>экм</w:t>
      </w:r>
      <w:proofErr w:type="spellEnd"/>
      <w:r>
        <w:t xml:space="preserve"> — 0,57 кВт. </w:t>
      </w:r>
    </w:p>
    <w:p w:rsidR="00000000" w:rsidRDefault="00B81C70">
      <w:pPr>
        <w:ind w:firstLine="284"/>
        <w:jc w:val="both"/>
      </w:pPr>
      <w:r>
        <w:t xml:space="preserve">Номинальный тепловой поток отопительных приборов в кВт определен при разности средних температур теплоносителя и воздуха 70 °С, расходе теплоносителя через прибор 0,1 кг/с, атмосферном давлении 1013 </w:t>
      </w:r>
      <w:proofErr w:type="spellStart"/>
      <w:r>
        <w:t>ГПа</w:t>
      </w:r>
      <w:proofErr w:type="spellEnd"/>
      <w:r>
        <w:t>.</w:t>
      </w:r>
    </w:p>
    <w:p w:rsidR="00000000" w:rsidRDefault="00B81C70">
      <w:pPr>
        <w:ind w:firstLine="284"/>
        <w:jc w:val="both"/>
      </w:pPr>
      <w:r>
        <w:t xml:space="preserve">Фактический тепловой поток от отопительных приборов в системе отопления в зависимости от значений перечисленных факторов будет отличаться от номинального в большую или меньшую сторону. В результате между </w:t>
      </w:r>
      <w:proofErr w:type="spellStart"/>
      <w:r>
        <w:t>теплопотерями</w:t>
      </w:r>
      <w:proofErr w:type="spellEnd"/>
      <w:r>
        <w:t xml:space="preserve"> помещений и номинал</w:t>
      </w:r>
      <w:r>
        <w:t>ьным тепловым потоком устанавливаемых в них отопительных приборов отсутствует формальное соответствие в киловаттах (например, в помещении с потерями теплоты 1 кВт по расчету должен быть установлен отопительный прибор с номинальным тепловым потоком 1,3 кВт), что является дефектом нового измерителя отопительных приборов, а не ошибками расчета.</w:t>
      </w:r>
    </w:p>
    <w:p w:rsidR="00000000" w:rsidRDefault="00B81C70">
      <w:pPr>
        <w:ind w:firstLine="284"/>
        <w:jc w:val="both"/>
      </w:pPr>
      <w:r>
        <w:rPr>
          <w:b/>
        </w:rPr>
        <w:t>3.5.</w:t>
      </w:r>
      <w:r>
        <w:t xml:space="preserve"> Системы отопления жилых зданий при расходе теплоты за отопительный период (см. п. 2.12 настоящего Пособия) 1000 </w:t>
      </w:r>
      <w:proofErr w:type="spellStart"/>
      <w:r>
        <w:t>ГДж</w:t>
      </w:r>
      <w:proofErr w:type="spellEnd"/>
      <w:r>
        <w:t xml:space="preserve"> и более следует проектировать </w:t>
      </w:r>
      <w:proofErr w:type="spellStart"/>
      <w:r>
        <w:t>пофасадными</w:t>
      </w:r>
      <w:proofErr w:type="spellEnd"/>
      <w:r>
        <w:t xml:space="preserve"> для в</w:t>
      </w:r>
      <w:r>
        <w:t xml:space="preserve">озможности автоматического раздельного регулирования каждого фасада. При расходе теплоты за отопительный период меньше 1000 </w:t>
      </w:r>
      <w:proofErr w:type="spellStart"/>
      <w:r>
        <w:t>ГДж</w:t>
      </w:r>
      <w:proofErr w:type="spellEnd"/>
      <w:r>
        <w:t xml:space="preserve"> (240 </w:t>
      </w:r>
      <w:proofErr w:type="spellStart"/>
      <w:r>
        <w:t>Гкал</w:t>
      </w:r>
      <w:proofErr w:type="spellEnd"/>
      <w:r>
        <w:t>) автоматическое регулирование теплового потока предусматривается при обосновании.</w:t>
      </w:r>
    </w:p>
    <w:p w:rsidR="00000000" w:rsidRDefault="00B81C70">
      <w:pPr>
        <w:ind w:firstLine="284"/>
        <w:jc w:val="both"/>
      </w:pPr>
      <w:r>
        <w:rPr>
          <w:b/>
        </w:rPr>
        <w:t>3.6.</w:t>
      </w:r>
      <w:r>
        <w:t xml:space="preserve"> Автоматическое регулирование расхода теплоты в системах отопления следует проектировать, руководствуясь “Общими положениями по оснащению приборами учета и автоматического регулирования систем газоснабжения, отопления, вентиляции, горячего водоснабжения, тепловых сетей и котельных”, утве</w:t>
      </w:r>
      <w:r>
        <w:t>ржденными постановлением Госстроя СССР.</w:t>
      </w:r>
    </w:p>
    <w:p w:rsidR="00000000" w:rsidRDefault="00B81C70">
      <w:pPr>
        <w:ind w:firstLine="284"/>
        <w:jc w:val="both"/>
      </w:pPr>
      <w:r>
        <w:t>При проектировании рекомендуется использовать Рекомендации по применению средств автоматического регулирования систем отопления и горячего водоснабжения жилых зданий/ЦНИИЭП инженерного оборудования, 1987.</w:t>
      </w:r>
    </w:p>
    <w:p w:rsidR="00000000" w:rsidRDefault="00B81C70">
      <w:pPr>
        <w:ind w:firstLine="284"/>
        <w:jc w:val="both"/>
      </w:pPr>
      <w:r>
        <w:t xml:space="preserve">С 1989 г. Московским заводом тепловой автоматики </w:t>
      </w:r>
      <w:proofErr w:type="spellStart"/>
      <w:r>
        <w:t>Минприбора</w:t>
      </w:r>
      <w:proofErr w:type="spellEnd"/>
      <w:r>
        <w:t xml:space="preserve"> СССР начат выпуск микропроцессорных регуляторов “Теплар-110”, предназначенных для регулирования двух </w:t>
      </w:r>
      <w:proofErr w:type="spellStart"/>
      <w:r>
        <w:t>пофасадных</w:t>
      </w:r>
      <w:proofErr w:type="spellEnd"/>
      <w:r>
        <w:t xml:space="preserve"> систем отопления и системы горячего водоснабжения жилых домов (одним прибором). “Теплар-110” яв</w:t>
      </w:r>
      <w:r>
        <w:t>ляется наиболее эффективным специализированным регулятором.</w:t>
      </w:r>
    </w:p>
    <w:p w:rsidR="00000000" w:rsidRDefault="00B81C70">
      <w:pPr>
        <w:ind w:firstLine="284"/>
        <w:jc w:val="both"/>
      </w:pPr>
      <w:r>
        <w:rPr>
          <w:b/>
        </w:rPr>
        <w:t>3.7.</w:t>
      </w:r>
      <w:r>
        <w:t xml:space="preserve"> Датчики температуры внутреннего воздуха при автоматизации систем отопления следует устанавливать в воздушном потоке в центре магистральных каналов вентиляционных блоков (при раздельных </w:t>
      </w:r>
      <w:proofErr w:type="spellStart"/>
      <w:r>
        <w:t>вентблоках</w:t>
      </w:r>
      <w:proofErr w:type="spellEnd"/>
      <w:r>
        <w:t xml:space="preserve"> — кухонных) на 700—800 мм ниже места слияния канала-спутника со сборным каналом в </w:t>
      </w:r>
      <w:proofErr w:type="spellStart"/>
      <w:r>
        <w:t>вентблоке</w:t>
      </w:r>
      <w:proofErr w:type="spellEnd"/>
      <w:r>
        <w:t xml:space="preserve"> верхнего этажа. При </w:t>
      </w:r>
      <w:proofErr w:type="spellStart"/>
      <w:r>
        <w:t>пофасадном</w:t>
      </w:r>
      <w:proofErr w:type="spellEnd"/>
      <w:r>
        <w:t xml:space="preserve"> регулировании для размещения датчиков рекомендуется использовать </w:t>
      </w:r>
      <w:proofErr w:type="spellStart"/>
      <w:r>
        <w:t>вентблоки</w:t>
      </w:r>
      <w:proofErr w:type="spellEnd"/>
      <w:r>
        <w:t xml:space="preserve"> квартир, помещения которых ориентированы преимуществе</w:t>
      </w:r>
      <w:r>
        <w:t xml:space="preserve">нно на один фасад здания. В домах меридиональной ориентации рекомендуется устанавливать не менее одного датчика в </w:t>
      </w:r>
      <w:proofErr w:type="spellStart"/>
      <w:r>
        <w:t>вентблоке</w:t>
      </w:r>
      <w:proofErr w:type="spellEnd"/>
      <w:r>
        <w:t xml:space="preserve"> квартиры, примыкающей к северному торцу здания. В остальных случаях следует стремиться к минимальной длине соединительных линий датчиков с регулирующими приборами.</w:t>
      </w:r>
    </w:p>
    <w:p w:rsidR="00000000" w:rsidRDefault="00B81C70">
      <w:pPr>
        <w:ind w:firstLine="284"/>
        <w:jc w:val="both"/>
      </w:pPr>
      <w:r>
        <w:rPr>
          <w:b/>
        </w:rPr>
        <w:t>3.8.</w:t>
      </w:r>
      <w:r>
        <w:t xml:space="preserve"> Для многоэтажных жилых зданий основным решением отопления являются однотрубные водяные системы отопления из унифицированных узлов и деталей, с верхним или нижним </w:t>
      </w:r>
      <w:proofErr w:type="spellStart"/>
      <w:r>
        <w:t>розливом</w:t>
      </w:r>
      <w:proofErr w:type="spellEnd"/>
      <w:r>
        <w:t xml:space="preserve"> и искусственным побуждением циркуляции. Для здан</w:t>
      </w:r>
      <w:r>
        <w:t>ий высотой до 10 этажей включительно могут быть использованы однотрубные системы с П (Т)-образными стояками. Параметры теплоносителя в системах водяного отопления следует принимать 105 — 70 °С, при необеспеченности указанных параметров источниками теплоты (индивидуальные или групповые котельные) — 95 — 70 °С.</w:t>
      </w:r>
    </w:p>
    <w:p w:rsidR="00000000" w:rsidRDefault="00B81C70">
      <w:pPr>
        <w:ind w:firstLine="284"/>
        <w:jc w:val="both"/>
      </w:pPr>
      <w:r>
        <w:t>В качестве отопительных приборов предпочтительны чугунные секционные радиаторы типа МС и стальные конвекторы типа “Универсал”, которые обеспечивают регулирование теплового потока “по воздуху” за счет в</w:t>
      </w:r>
      <w:r>
        <w:t>ключенного в их конструкцию воздушного клапана, что позволяет не устанавливать перед ними регулировочные краны.</w:t>
      </w:r>
    </w:p>
    <w:p w:rsidR="00000000" w:rsidRDefault="00B81C70">
      <w:pPr>
        <w:ind w:firstLine="284"/>
        <w:jc w:val="both"/>
      </w:pPr>
      <w:r>
        <w:rPr>
          <w:b/>
        </w:rPr>
        <w:t>3.9.</w:t>
      </w:r>
      <w:r>
        <w:t xml:space="preserve"> Системы панельного отопления с нагревательными элементами в однослойных и трехслойных наружных стеновых панелях по сравнению с традиционными системами центрального отопления являются прогрессивным техническим решением, которое при качественном исполнении позволяет повысить </w:t>
      </w:r>
      <w:proofErr w:type="spellStart"/>
      <w:r>
        <w:t>индустриальность</w:t>
      </w:r>
      <w:proofErr w:type="spellEnd"/>
      <w:r>
        <w:t xml:space="preserve"> монтажных работ, удешевить строительство и сократить расход металла при высоком уровне теплового комфорт</w:t>
      </w:r>
      <w:r>
        <w:t>а в обслуживаемых помещениях.</w:t>
      </w:r>
    </w:p>
    <w:p w:rsidR="00000000" w:rsidRDefault="00B81C70">
      <w:pPr>
        <w:ind w:firstLine="284"/>
        <w:jc w:val="both"/>
      </w:pPr>
      <w:r>
        <w:t xml:space="preserve">Наряду с этим следует учитывать, что характерный для систем панельного отопления большой объем “скрытых” работ предъявляет повышенные требования к культуре производства и соблюдению технологической дисциплины. В аварийных ситуациях большого масштаба системы панельного отопления требуют более четких действий обслуживающего персонала. В связи с этим решения о применении систем панельного отопления в конкретных городах (районах) принимаются </w:t>
      </w:r>
      <w:proofErr w:type="spellStart"/>
      <w:r>
        <w:t>госстроями</w:t>
      </w:r>
      <w:proofErr w:type="spellEnd"/>
      <w:r>
        <w:t xml:space="preserve"> союзных республик, </w:t>
      </w:r>
      <w:proofErr w:type="spellStart"/>
      <w:r>
        <w:t>обл</w:t>
      </w:r>
      <w:proofErr w:type="spellEnd"/>
      <w:r>
        <w:t>(гор)ис</w:t>
      </w:r>
      <w:r>
        <w:t>полкомами с учетом подготовленности домостроительных комбинатов, теплоснабжающих и эксплуатирующих организаций.</w:t>
      </w:r>
    </w:p>
    <w:p w:rsidR="00000000" w:rsidRDefault="00B81C70">
      <w:pPr>
        <w:ind w:firstLine="284"/>
        <w:jc w:val="both"/>
      </w:pPr>
      <w:r>
        <w:t>При проектировании систем панельного отопления могут быть использованы “Указания по проектированию и осуществлению систем панельного отопления со стальными нагревательными элементами в наружных стенах крупнопанельных зданий” (СН 398-69) с изменениями, вытекающими из действующих нормативных документов.</w:t>
      </w:r>
    </w:p>
    <w:p w:rsidR="00000000" w:rsidRDefault="00B81C70">
      <w:pPr>
        <w:ind w:firstLine="284"/>
        <w:jc w:val="both"/>
      </w:pPr>
      <w:r>
        <w:rPr>
          <w:b/>
        </w:rPr>
        <w:t>3.10.</w:t>
      </w:r>
      <w:r>
        <w:t xml:space="preserve"> В жилых зданиях, присоединяемых к сетям централизованного теплоснабжения с расчетной темпер</w:t>
      </w:r>
      <w:r>
        <w:t xml:space="preserve">атурой теплоносителя (воды) 150 °С при параметрах </w:t>
      </w:r>
      <w:r>
        <w:rPr>
          <w:i/>
        </w:rPr>
        <w:t>Б</w:t>
      </w:r>
      <w:r>
        <w:t xml:space="preserve"> наружного воздуха и гарантированным перепадом давления, может быть использовано система со ступенчатой регенерацией теплоты (СРТ), позволяющая сокращать расход отопительных приборов.</w:t>
      </w:r>
    </w:p>
    <w:p w:rsidR="00000000" w:rsidRDefault="00B81C70">
      <w:pPr>
        <w:ind w:firstLine="284"/>
        <w:jc w:val="both"/>
      </w:pPr>
      <w:r>
        <w:t>Проектирование системы СРТ осуществляется в соответствии с “Нормами проектирования систем отопления со ступенчатой регенерацией тепла” (РСН 308—85 Госстрой УССР).</w:t>
      </w:r>
    </w:p>
    <w:p w:rsidR="00000000" w:rsidRDefault="00B81C70">
      <w:pPr>
        <w:ind w:firstLine="284"/>
        <w:jc w:val="both"/>
      </w:pPr>
      <w:r>
        <w:rPr>
          <w:b/>
        </w:rPr>
        <w:t>3.11.</w:t>
      </w:r>
      <w:r>
        <w:t xml:space="preserve"> При проектировании систем отопления жилых зданий, возводимых в Северной строительно-климатической зоне, в ра</w:t>
      </w:r>
      <w:r>
        <w:t>звитие действующих нормативных документов дополнительно рекомендуется:</w:t>
      </w:r>
    </w:p>
    <w:p w:rsidR="00000000" w:rsidRDefault="00B81C70">
      <w:pPr>
        <w:ind w:firstLine="284"/>
        <w:jc w:val="both"/>
      </w:pPr>
      <w:r>
        <w:t xml:space="preserve">а) системы отопления с местными отопительными приборами проектировать с тупиковой разводкой магистральных трубопроводов при числе стояков, присоединяемых к одной ветви, не более 6. При большем числе стояков предусматривать, как правило, попутное движение теплоносителя; </w:t>
      </w:r>
    </w:p>
    <w:p w:rsidR="00000000" w:rsidRDefault="00B81C70">
      <w:pPr>
        <w:ind w:firstLine="284"/>
        <w:jc w:val="both"/>
      </w:pPr>
      <w:r>
        <w:t xml:space="preserve">б) для отопления лестничных клеток предусматривать: </w:t>
      </w:r>
    </w:p>
    <w:p w:rsidR="00000000" w:rsidRDefault="00B81C70">
      <w:pPr>
        <w:ind w:firstLine="284"/>
        <w:jc w:val="both"/>
      </w:pPr>
      <w:r>
        <w:t xml:space="preserve">высокие стальные конвекторы в вестибюлях, </w:t>
      </w:r>
      <w:proofErr w:type="spellStart"/>
      <w:r>
        <w:t>предвключая</w:t>
      </w:r>
      <w:proofErr w:type="spellEnd"/>
      <w:r>
        <w:t xml:space="preserve"> их системе отопления, с установкой на обеих подводках в местах,</w:t>
      </w:r>
      <w:r>
        <w:t xml:space="preserve"> недоступных для случайного </w:t>
      </w:r>
      <w:proofErr w:type="spellStart"/>
      <w:r>
        <w:t>закрывания</w:t>
      </w:r>
      <w:proofErr w:type="spellEnd"/>
      <w:r>
        <w:t xml:space="preserve"> запорной арматуры. Нагрузку высоких конвекторов следует принимать равной </w:t>
      </w:r>
      <w:proofErr w:type="spellStart"/>
      <w:r>
        <w:t>теплопотерям</w:t>
      </w:r>
      <w:proofErr w:type="spellEnd"/>
      <w:r>
        <w:t xml:space="preserve"> вестибюля с учетом </w:t>
      </w:r>
      <w:proofErr w:type="spellStart"/>
      <w:r>
        <w:t>теплопотерь</w:t>
      </w:r>
      <w:proofErr w:type="spellEnd"/>
      <w:r>
        <w:t xml:space="preserve"> через входные двери;</w:t>
      </w:r>
    </w:p>
    <w:p w:rsidR="00000000" w:rsidRDefault="00B81C70">
      <w:pPr>
        <w:ind w:firstLine="284"/>
        <w:jc w:val="both"/>
      </w:pPr>
      <w:r>
        <w:t>стальные конвекторы на этажах, присоединяя их к самостоятельным стоякам по однотрубной проточной схеме. Стояки лестничных клеток в пределах 1 — 2 этажей прокладывать в квартирах, лифтовых холлах или других помещениях, отапливаемых основной системой отопления зданий. Расчетную температуру воздуха в лестничных клетках принимать 18°С;</w:t>
      </w:r>
    </w:p>
    <w:p w:rsidR="00000000" w:rsidRDefault="00B81C70">
      <w:pPr>
        <w:ind w:firstLine="284"/>
        <w:jc w:val="both"/>
      </w:pPr>
      <w:r>
        <w:t>в</w:t>
      </w:r>
      <w:r>
        <w:t xml:space="preserve">) отопление </w:t>
      </w:r>
      <w:proofErr w:type="spellStart"/>
      <w:r>
        <w:t>мусоросборных</w:t>
      </w:r>
      <w:proofErr w:type="spellEnd"/>
      <w:r>
        <w:t xml:space="preserve"> камер предусматривать, как правило, змеевиками из гладких труб, присоединяемыми к системе отопления по проточной схеме, с установкой запорной арматуры на обеих подводках. Расчетную температуру воздуха в </w:t>
      </w:r>
      <w:proofErr w:type="spellStart"/>
      <w:r>
        <w:t>мусоросборной</w:t>
      </w:r>
      <w:proofErr w:type="spellEnd"/>
      <w:r>
        <w:t xml:space="preserve"> камере принимать 15 °С;</w:t>
      </w:r>
    </w:p>
    <w:p w:rsidR="00000000" w:rsidRDefault="00B81C70">
      <w:pPr>
        <w:ind w:firstLine="284"/>
        <w:jc w:val="both"/>
      </w:pPr>
      <w:r>
        <w:t>г) неучтенные потери циркуляционного давления в системе отопления принимать равными 25 % максимальных потерь давления;</w:t>
      </w:r>
    </w:p>
    <w:p w:rsidR="00000000" w:rsidRDefault="00B81C70">
      <w:pPr>
        <w:ind w:firstLine="284"/>
        <w:jc w:val="both"/>
      </w:pPr>
      <w:proofErr w:type="spellStart"/>
      <w:r>
        <w:t>д</w:t>
      </w:r>
      <w:proofErr w:type="spellEnd"/>
      <w:r>
        <w:t>) при установке в системах отопления подмешивающих насосов предусматривать резервный насос;</w:t>
      </w:r>
    </w:p>
    <w:p w:rsidR="00000000" w:rsidRDefault="00B81C70">
      <w:pPr>
        <w:ind w:firstLine="284"/>
        <w:jc w:val="both"/>
      </w:pPr>
      <w:proofErr w:type="spellStart"/>
      <w:r>
        <w:t>е</w:t>
      </w:r>
      <w:proofErr w:type="spellEnd"/>
      <w:r>
        <w:t>) в системах отопления жилых зда</w:t>
      </w:r>
      <w:r>
        <w:t>ний с числом этажей 3 и более на каждом стояке предусматривать запорную арматуру для их отключения и спускные краны со штуцером для опорожнения;</w:t>
      </w:r>
    </w:p>
    <w:p w:rsidR="00000000" w:rsidRDefault="00B81C70">
      <w:pPr>
        <w:ind w:firstLine="284"/>
        <w:jc w:val="both"/>
      </w:pPr>
      <w:r>
        <w:t>ж) прокладывать стояки в местах пересечения перекрытий с использованием гильз;</w:t>
      </w:r>
    </w:p>
    <w:p w:rsidR="00000000" w:rsidRDefault="00B81C70">
      <w:pPr>
        <w:ind w:firstLine="284"/>
        <w:jc w:val="both"/>
      </w:pPr>
      <w:proofErr w:type="spellStart"/>
      <w:r>
        <w:t>з</w:t>
      </w:r>
      <w:proofErr w:type="spellEnd"/>
      <w:r>
        <w:t xml:space="preserve">) для стояков и подводок к отопительным приборам применять стальные обыкновенные трубы по ГОСТ 3262—75*. </w:t>
      </w:r>
    </w:p>
    <w:p w:rsidR="00000000" w:rsidRDefault="00B81C70">
      <w:pPr>
        <w:ind w:firstLine="284"/>
        <w:jc w:val="both"/>
      </w:pPr>
      <w:r>
        <w:t>Все изложенное направлено на повышение надежности систем отопления, сооружаемых в Северной строительно-климатической зоне и отражает опыт натурных обследований.</w:t>
      </w:r>
    </w:p>
    <w:p w:rsidR="00000000" w:rsidRDefault="00B81C70">
      <w:pPr>
        <w:ind w:firstLine="284"/>
        <w:jc w:val="both"/>
      </w:pPr>
    </w:p>
    <w:p w:rsidR="00000000" w:rsidRDefault="00B81C70">
      <w:pPr>
        <w:pStyle w:val="1"/>
        <w:spacing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ВЕНТИЛЯЦИЯ</w:t>
      </w:r>
    </w:p>
    <w:p w:rsidR="00000000" w:rsidRDefault="00B81C70"/>
    <w:p w:rsidR="00000000" w:rsidRDefault="00B81C70">
      <w:pPr>
        <w:ind w:firstLine="284"/>
        <w:jc w:val="both"/>
      </w:pPr>
      <w:r>
        <w:rPr>
          <w:b/>
        </w:rPr>
        <w:t>4.1.</w:t>
      </w:r>
      <w:r>
        <w:t xml:space="preserve"> В массовом жилищном строительстве принята следующая схема вентилирования квартир: отработанный воздух удаляется непосредственно из зоны его наибольшего загрязнения, т. е. из кухни и санитарных помещений, посредством естественной вытяжной канальной вентиляции. Его замещение происходит за счет наружного воздуха, поступающего через </w:t>
      </w:r>
      <w:proofErr w:type="spellStart"/>
      <w:r>
        <w:t>неплотности</w:t>
      </w:r>
      <w:proofErr w:type="spellEnd"/>
      <w:r>
        <w:t xml:space="preserve"> наружных ограждений (главным образом оконного заполнения) всех помещений квартиры и нагреваемого системой отопления. Таким образом обеспечивается воздухообмен во всем е</w:t>
      </w:r>
      <w:r>
        <w:t>е объеме.</w:t>
      </w:r>
    </w:p>
    <w:p w:rsidR="00000000" w:rsidRDefault="00B81C70">
      <w:pPr>
        <w:ind w:firstLine="284"/>
        <w:jc w:val="both"/>
      </w:pPr>
      <w:r>
        <w:t>При посемейном заселении квартир, на которое ориентировано современное жилищное строительство, внутриквартирные двери, как правило, открыты или имеют подрезку дверного полотна, уменьшающую их аэродинамическое сопротивление в закрытом положении. Так, например, щель под дверями ванной и уборной должна быть не менее 0,02 м высотой.</w:t>
      </w:r>
    </w:p>
    <w:p w:rsidR="00000000" w:rsidRDefault="00B81C70">
      <w:pPr>
        <w:ind w:firstLine="284"/>
        <w:jc w:val="both"/>
      </w:pPr>
      <w:r>
        <w:t>Квартира рассматривается в качестве единого воздушного объема с одинаковым давлением.</w:t>
      </w:r>
    </w:p>
    <w:p w:rsidR="00000000" w:rsidRDefault="00B81C70">
      <w:pPr>
        <w:ind w:firstLine="284"/>
        <w:jc w:val="both"/>
      </w:pPr>
      <w:r>
        <w:t>Нормирование воздухообмена производят исходя из минимально необходимого по гигиеничес</w:t>
      </w:r>
      <w:r>
        <w:t>ким требованиям количества наружного воздуха на одного человека (примерно 30 м</w:t>
      </w:r>
      <w:r>
        <w:rPr>
          <w:vertAlign w:val="superscript"/>
        </w:rPr>
        <w:t>3</w:t>
      </w:r>
      <w:r>
        <w:t>/ч) и к площади пола относят условно. Возрастание нормы заселения, равно как и увеличение высоты помещений, с указанным количеством воздуха не связано.</w:t>
      </w:r>
    </w:p>
    <w:p w:rsidR="00000000" w:rsidRDefault="00B81C70">
      <w:pPr>
        <w:ind w:firstLine="284"/>
        <w:jc w:val="both"/>
      </w:pPr>
      <w:r>
        <w:t>Удалять воздух непосредственно из комнат в многокомнатных квартирах не рекомендуется, так как при этом нарушается схема направленного движения воздуха в квартире.</w:t>
      </w:r>
    </w:p>
    <w:p w:rsidR="00000000" w:rsidRDefault="00B81C70">
      <w:pPr>
        <w:ind w:firstLine="284"/>
        <w:jc w:val="both"/>
      </w:pPr>
      <w:r>
        <w:rPr>
          <w:b/>
        </w:rPr>
        <w:t>4.2.</w:t>
      </w:r>
      <w:r>
        <w:t xml:space="preserve"> </w:t>
      </w:r>
      <w:proofErr w:type="spellStart"/>
      <w:r>
        <w:t>СНиП</w:t>
      </w:r>
      <w:proofErr w:type="spellEnd"/>
      <w:r>
        <w:t xml:space="preserve"> “Жилые здания” регламентирует двоякий подход к расчетному воздухообмену: жилых комнат — 3 м</w:t>
      </w:r>
      <w:r>
        <w:rPr>
          <w:vertAlign w:val="superscript"/>
        </w:rPr>
        <w:t>3</w:t>
      </w:r>
      <w:r>
        <w:t>/ч на 1 м</w:t>
      </w:r>
      <w:r>
        <w:rPr>
          <w:vertAlign w:val="superscript"/>
        </w:rPr>
        <w:t>2</w:t>
      </w:r>
      <w:r>
        <w:t xml:space="preserve"> пола;</w:t>
      </w:r>
      <w:r>
        <w:t xml:space="preserve"> кухонь и санузлов — от 110 до 140 м</w:t>
      </w:r>
      <w:r>
        <w:rPr>
          <w:vertAlign w:val="superscript"/>
        </w:rPr>
        <w:t>3</w:t>
      </w:r>
      <w:r>
        <w:t>/ч (в зависимости от типа кухонных плит). Первая из этих величин учитывается в тепловом балансе (см. разд. 2), вторая — при расчете вентиляционных блоков. Различие в подходе к нормированию не имеет физического обоснования. В связи с этим рекомендуется: для квартир с жилой площадью менее 37 м</w:t>
      </w:r>
      <w:r>
        <w:rPr>
          <w:vertAlign w:val="superscript"/>
        </w:rPr>
        <w:t>2</w:t>
      </w:r>
      <w:r>
        <w:t xml:space="preserve"> (при электроплитах) и 47 м</w:t>
      </w:r>
      <w:r>
        <w:rPr>
          <w:vertAlign w:val="superscript"/>
        </w:rPr>
        <w:t>2</w:t>
      </w:r>
      <w:r>
        <w:t xml:space="preserve"> (при газовых плитах) производительность вытяжной вентиляции принимать исходя из нормы санузлов и кухонь; для квартир с жилой площадью 37(47) м</w:t>
      </w:r>
      <w:r>
        <w:rPr>
          <w:vertAlign w:val="superscript"/>
        </w:rPr>
        <w:t>2</w:t>
      </w:r>
      <w:r>
        <w:t xml:space="preserve"> и более —</w:t>
      </w:r>
      <w:r>
        <w:t xml:space="preserve"> по санитарной норме для жилых комнат. Приведенные площади квартир определены из условий равенства воздухообмена по санитарной норме и норме для кухонь и санузлов.</w:t>
      </w:r>
    </w:p>
    <w:p w:rsidR="00000000" w:rsidRDefault="00B81C70">
      <w:pPr>
        <w:ind w:firstLine="284"/>
        <w:jc w:val="both"/>
      </w:pPr>
      <w:r>
        <w:rPr>
          <w:b/>
        </w:rPr>
        <w:t>4.3.</w:t>
      </w:r>
      <w:r>
        <w:t xml:space="preserve"> Под расчетным воздухообменом (п. 4.2) следует понимать возмещение удаляемого из квартир воздуха наружным в нормативном объеме. При оценке величины воздухообмена квартиры не следует учитывать количество воздуха, поступившего из других помещений (лестничной клетки, смежных квартир).</w:t>
      </w:r>
    </w:p>
    <w:p w:rsidR="00000000" w:rsidRDefault="00B81C70">
      <w:pPr>
        <w:ind w:firstLine="284"/>
        <w:jc w:val="both"/>
      </w:pPr>
      <w:r>
        <w:rPr>
          <w:b/>
        </w:rPr>
        <w:t>4.4.</w:t>
      </w:r>
      <w:r>
        <w:t xml:space="preserve"> В соответствии с п. 4.22 </w:t>
      </w:r>
      <w:proofErr w:type="spellStart"/>
      <w:r>
        <w:t>СНиП</w:t>
      </w:r>
      <w:proofErr w:type="spellEnd"/>
      <w:r>
        <w:t xml:space="preserve"> 2.04.05—86 расчетными, т. </w:t>
      </w:r>
      <w:r>
        <w:t xml:space="preserve">е. наихудшими, для естественной вытяжной вентиляции являются условия: температура наружного воздуха +5°С, безветрие, температура внутреннего воздуха помещений +18 (+20)°С, окна открыты. При этих условиях рассчитывается пропускная способность </w:t>
      </w:r>
      <w:proofErr w:type="spellStart"/>
      <w:r>
        <w:t>вентблоков</w:t>
      </w:r>
      <w:proofErr w:type="spellEnd"/>
      <w:r>
        <w:t>. При понижении температуры наружного воздуха и ветре окна закрывают, после чего располагаемое для системы вентиляции давление расходуется на преодоление сопротивления двух элементов: оконного заполнения и вытяжной вентиляционной сети. Таким образом, воздухооб</w:t>
      </w:r>
      <w:r>
        <w:t xml:space="preserve">мен в квартире является функцией сопротивления </w:t>
      </w:r>
      <w:proofErr w:type="spellStart"/>
      <w:r>
        <w:t>воздухопроницанию</w:t>
      </w:r>
      <w:proofErr w:type="spellEnd"/>
      <w:r>
        <w:t xml:space="preserve"> наружных ограждений и погодных условий. С учетом изменения располагаемого давления в течение отопительного сезона (в 10—15 раз) и тенденции к максимальному сокращению воздухопроницаемости окон (для уменьшения перерасхода теплоты при низких температурах наружного воздуха) необходим переход от неорганизованной переменной инфильтрации (как во времени для одного помещения, так и для здания по высоте и ориентации фасадов относительно направления ве</w:t>
      </w:r>
      <w:r>
        <w:t>тра) к организованному регулируемому притоку наружного воздуха с помощью специальных устройств.</w:t>
      </w:r>
    </w:p>
    <w:p w:rsidR="00000000" w:rsidRDefault="00B81C70">
      <w:pPr>
        <w:ind w:firstLine="284"/>
        <w:jc w:val="both"/>
      </w:pPr>
      <w:r>
        <w:t>Производительность вытяжной вентиляции в теплый период года не нормируется в связи с возможностью осуществления воздухообмена через открытые окна.</w:t>
      </w:r>
    </w:p>
    <w:p w:rsidR="00000000" w:rsidRDefault="00B81C70">
      <w:pPr>
        <w:ind w:firstLine="284"/>
        <w:jc w:val="both"/>
      </w:pPr>
      <w:r>
        <w:t xml:space="preserve">Потребитель должен иметь возможность изменять воздухопроницаемость окон, следуя за изменением метеорологических условий и ориентируясь при этом на свои </w:t>
      </w:r>
      <w:proofErr w:type="spellStart"/>
      <w:r>
        <w:t>теплоощущения</w:t>
      </w:r>
      <w:proofErr w:type="spellEnd"/>
      <w:r>
        <w:t xml:space="preserve">, однако, известные элементы стандартных окон (форточки, узкие створки) не обеспечивают из-за сложности </w:t>
      </w:r>
      <w:r>
        <w:t>плавного регулирования их открывания нормируемого притока. Поступающий через них наружный воздух создает дискомфорт в рабочей зоне помещений (ощущение дутья). Указанные элементы могут использоваться для залпового проветривания, но не пригодны в качестве постоянно действующих приточных устройств, обеспечивающих нормативный воздухообмен квартир.</w:t>
      </w:r>
    </w:p>
    <w:p w:rsidR="00000000" w:rsidRDefault="00B81C70">
      <w:pPr>
        <w:ind w:firstLine="284"/>
        <w:jc w:val="both"/>
      </w:pPr>
      <w:r>
        <w:rPr>
          <w:b/>
        </w:rPr>
        <w:t>4.5.</w:t>
      </w:r>
      <w:r>
        <w:t xml:space="preserve"> Для осуществления организованного притока наружного воздуха в помещениях жилых зданий рекомендуется применять регулируемые приточные устройства. Они должны отвеч</w:t>
      </w:r>
      <w:r>
        <w:t>ать следующим требованиям:</w:t>
      </w:r>
    </w:p>
    <w:p w:rsidR="00000000" w:rsidRDefault="00B81C70">
      <w:pPr>
        <w:ind w:firstLine="284"/>
        <w:jc w:val="both"/>
      </w:pPr>
      <w:r>
        <w:t xml:space="preserve">отсутствие дискомфорта по температуре и подвижности воздуха в зоне обитания; </w:t>
      </w:r>
    </w:p>
    <w:p w:rsidR="00000000" w:rsidRDefault="00B81C70">
      <w:pPr>
        <w:ind w:firstLine="284"/>
        <w:jc w:val="both"/>
      </w:pPr>
      <w:r>
        <w:t xml:space="preserve">герметичность клапана устройства в закрытом положении; </w:t>
      </w:r>
    </w:p>
    <w:p w:rsidR="00000000" w:rsidRDefault="00B81C70">
      <w:pPr>
        <w:ind w:firstLine="284"/>
        <w:jc w:val="both"/>
      </w:pPr>
      <w:r>
        <w:t>термическое сопротивление клапана приточного устройства — не менее термического сопротивления оконного заполнения;</w:t>
      </w:r>
    </w:p>
    <w:p w:rsidR="00000000" w:rsidRDefault="00B81C70">
      <w:pPr>
        <w:ind w:firstLine="284"/>
        <w:jc w:val="both"/>
      </w:pPr>
      <w:r>
        <w:t xml:space="preserve">возможность плавного регулирования во всем диапазоне — от полностью открытого до полностью закрытого положения; </w:t>
      </w:r>
    </w:p>
    <w:p w:rsidR="00000000" w:rsidRDefault="00B81C70">
      <w:pPr>
        <w:ind w:firstLine="284"/>
        <w:jc w:val="both"/>
      </w:pPr>
      <w:r>
        <w:t>эстетичность.</w:t>
      </w:r>
    </w:p>
    <w:p w:rsidR="00000000" w:rsidRDefault="00B81C70">
      <w:pPr>
        <w:ind w:firstLine="284"/>
        <w:jc w:val="both"/>
      </w:pPr>
      <w:r>
        <w:rPr>
          <w:b/>
        </w:rPr>
        <w:t>4.6.</w:t>
      </w:r>
      <w:r>
        <w:t xml:space="preserve"> Приточные устройства в качестве одного из возможных вариантов рекомендуется выполнять в виде горизонталь</w:t>
      </w:r>
      <w:r>
        <w:t>ной щели шириной 15 мм в верхней части оконной коробки с клапаном на нижнем подвесе (рис. 1). При этом поток наружного воздуха с помощью клапана и под действием конвективного потока от отопительного прибора под окном отклоняется на потолок помещения, опускаясь в зону обитания, как правило, на некотором расстоянии от окна, с параметрами, близкими к параметрам внутреннего воздуха. Длина приточного устройства на 200 мм меньше длины оконного блока (по 100 мм с каждой стороны). Посередине в щели (при ее длине бо</w:t>
      </w:r>
      <w:r>
        <w:t xml:space="preserve">лее 1000 мм) выполняется </w:t>
      </w:r>
      <w:proofErr w:type="spellStart"/>
      <w:r>
        <w:t>проставка</w:t>
      </w:r>
      <w:proofErr w:type="spellEnd"/>
      <w:r>
        <w:t xml:space="preserve"> шириной 40 мм.</w:t>
      </w:r>
    </w:p>
    <w:p w:rsidR="00000000" w:rsidRDefault="00B81C70">
      <w:pPr>
        <w:jc w:val="center"/>
      </w:pPr>
      <w:r>
        <w:pict>
          <v:shape id="_x0000_i1032" type="#_x0000_t75" style="width:196.5pt;height:238.5pt">
            <v:imagedata r:id="rId17" o:title=""/>
          </v:shape>
        </w:pict>
      </w:r>
    </w:p>
    <w:p w:rsidR="00000000" w:rsidRDefault="00B81C70">
      <w:pPr>
        <w:jc w:val="center"/>
      </w:pPr>
      <w:r>
        <w:pict>
          <v:shape id="_x0000_i1033" type="#_x0000_t75" style="width:308.25pt;height:224.25pt">
            <v:imagedata r:id="rId18" o:title=""/>
          </v:shape>
        </w:pict>
      </w:r>
    </w:p>
    <w:p w:rsidR="00000000" w:rsidRDefault="00B81C70">
      <w:pPr>
        <w:jc w:val="center"/>
        <w:rPr>
          <w:b/>
        </w:rPr>
      </w:pPr>
    </w:p>
    <w:p w:rsidR="00000000" w:rsidRDefault="00B81C70">
      <w:pPr>
        <w:jc w:val="center"/>
        <w:rPr>
          <w:b/>
        </w:rPr>
      </w:pPr>
      <w:r>
        <w:rPr>
          <w:b/>
        </w:rPr>
        <w:t xml:space="preserve">Рис. 1. </w:t>
      </w:r>
      <w:r>
        <w:rPr>
          <w:b/>
          <w:i/>
        </w:rPr>
        <w:t>Регулируемое</w:t>
      </w:r>
      <w:r>
        <w:rPr>
          <w:b/>
        </w:rPr>
        <w:t xml:space="preserve"> приточное устройство</w:t>
      </w:r>
    </w:p>
    <w:p w:rsidR="00000000" w:rsidRDefault="00B81C70">
      <w:pPr>
        <w:jc w:val="center"/>
      </w:pPr>
    </w:p>
    <w:p w:rsidR="00000000" w:rsidRDefault="00B81C70">
      <w:pPr>
        <w:ind w:firstLine="284"/>
        <w:jc w:val="both"/>
      </w:pPr>
      <w:r>
        <w:t xml:space="preserve">Клапан имеет уплотняющую прокладку толщиной 10 мм из </w:t>
      </w:r>
      <w:proofErr w:type="spellStart"/>
      <w:r>
        <w:t>пенополиуретана</w:t>
      </w:r>
      <w:proofErr w:type="spellEnd"/>
      <w:r>
        <w:t xml:space="preserve"> или </w:t>
      </w:r>
      <w:proofErr w:type="spellStart"/>
      <w:r>
        <w:t>пенорезины</w:t>
      </w:r>
      <w:proofErr w:type="spellEnd"/>
      <w:r>
        <w:t xml:space="preserve"> и перекрывает щель на 15 мм с каждой стороны.</w:t>
      </w:r>
    </w:p>
    <w:p w:rsidR="00000000" w:rsidRDefault="00B81C70">
      <w:pPr>
        <w:ind w:firstLine="284"/>
        <w:jc w:val="both"/>
      </w:pPr>
      <w:r>
        <w:t>Клапан оснащается простейшим запорно-регулирующим устройством с дистанционным управлением, обеспечивающим плавное регулирование его положения и запирание.</w:t>
      </w:r>
    </w:p>
    <w:p w:rsidR="00000000" w:rsidRDefault="00B81C70">
      <w:pPr>
        <w:ind w:firstLine="284"/>
        <w:jc w:val="both"/>
      </w:pPr>
      <w:r>
        <w:t xml:space="preserve">Описанные приточные устройства проверены в экспериментальном строительстве в </w:t>
      </w:r>
      <w:r>
        <w:rPr>
          <w:lang w:val="en-US"/>
        </w:rPr>
        <w:t>I</w:t>
      </w:r>
      <w:r>
        <w:t>, II и</w:t>
      </w:r>
      <w:r>
        <w:rPr>
          <w:lang w:val="en-US"/>
        </w:rPr>
        <w:t xml:space="preserve"> III</w:t>
      </w:r>
      <w:r>
        <w:t xml:space="preserve"> климатических районах и получили одобрен</w:t>
      </w:r>
      <w:r>
        <w:t xml:space="preserve">ие гигиенистов (ИОКГ им. А. Н. </w:t>
      </w:r>
      <w:proofErr w:type="spellStart"/>
      <w:r>
        <w:t>Сысина</w:t>
      </w:r>
      <w:proofErr w:type="spellEnd"/>
      <w:r>
        <w:t>).</w:t>
      </w:r>
    </w:p>
    <w:p w:rsidR="00000000" w:rsidRDefault="00B81C70">
      <w:pPr>
        <w:ind w:firstLine="284"/>
        <w:jc w:val="both"/>
      </w:pPr>
      <w:r>
        <w:t>ЦНИИЭП инженерного оборудования разрабатывает рабочую документацию приточных устройств применительно к окнам различной конструкции и оказывает научно-техническую помощь при их внедрении.</w:t>
      </w:r>
    </w:p>
    <w:p w:rsidR="00000000" w:rsidRDefault="00B81C70">
      <w:pPr>
        <w:ind w:firstLine="284"/>
        <w:jc w:val="both"/>
      </w:pPr>
      <w:r>
        <w:rPr>
          <w:b/>
        </w:rPr>
        <w:t>4.7.</w:t>
      </w:r>
      <w:r>
        <w:t xml:space="preserve"> Стимулом для потребительского регулирования приточных устройств является индивидуальное восприятие воздушно-теплового комфорта в пределах нормативного отпуска теплоты. Регулирование воздухообмена по температуре внутреннего воздуха предоставляет потребителю широкие возможности для</w:t>
      </w:r>
      <w:r>
        <w:t xml:space="preserve"> поддержания желаемого уровня воздушно-теплового комфорта в зависимости от конкретного режима эксплуатации квартиры.</w:t>
      </w:r>
    </w:p>
    <w:p w:rsidR="00000000" w:rsidRDefault="00B81C70">
      <w:pPr>
        <w:ind w:firstLine="284"/>
        <w:jc w:val="both"/>
      </w:pPr>
      <w:r>
        <w:rPr>
          <w:b/>
        </w:rPr>
        <w:t>4.8.</w:t>
      </w:r>
      <w:r>
        <w:t xml:space="preserve"> Вытяжная вентиляция с естественным побуждением выполняется, как правило, в соответствии со схемами, рис. 2. Преимущественной является схема, показанная справа. При этом каждая квартира соединяется со сборным вытяжным каналом посредством попутчика.</w:t>
      </w:r>
    </w:p>
    <w:p w:rsidR="00000000" w:rsidRDefault="00B81C70">
      <w:pPr>
        <w:jc w:val="center"/>
      </w:pPr>
      <w:r>
        <w:pict>
          <v:shape id="_x0000_i1034" type="#_x0000_t75" style="width:309.75pt;height:181.5pt">
            <v:imagedata r:id="rId19" o:title=""/>
          </v:shape>
        </w:pict>
      </w:r>
    </w:p>
    <w:p w:rsidR="00000000" w:rsidRDefault="00B81C70">
      <w:pPr>
        <w:jc w:val="center"/>
        <w:rPr>
          <w:b/>
        </w:rPr>
      </w:pPr>
    </w:p>
    <w:p w:rsidR="00000000" w:rsidRDefault="00B81C70">
      <w:pPr>
        <w:jc w:val="center"/>
        <w:rPr>
          <w:b/>
        </w:rPr>
      </w:pPr>
      <w:r>
        <w:rPr>
          <w:b/>
        </w:rPr>
        <w:t>Рис. 2. Возможные схемы естественной канальной вытяжной вентиляции</w:t>
      </w:r>
    </w:p>
    <w:p w:rsidR="00000000" w:rsidRDefault="00B81C70">
      <w:pPr>
        <w:jc w:val="center"/>
        <w:rPr>
          <w:b/>
        </w:rPr>
      </w:pPr>
    </w:p>
    <w:p w:rsidR="00000000" w:rsidRDefault="00B81C70">
      <w:pPr>
        <w:ind w:firstLine="284"/>
        <w:jc w:val="both"/>
      </w:pPr>
      <w:r>
        <w:t>Вентиляционная сеть образуется из унифицированных по высоте здания поэт</w:t>
      </w:r>
      <w:r>
        <w:t xml:space="preserve">ажных блоков. </w:t>
      </w:r>
    </w:p>
    <w:p w:rsidR="00000000" w:rsidRDefault="00B81C70">
      <w:pPr>
        <w:ind w:firstLine="284"/>
        <w:jc w:val="both"/>
      </w:pPr>
      <w:r>
        <w:rPr>
          <w:b/>
        </w:rPr>
        <w:t>4.9.</w:t>
      </w:r>
      <w:r>
        <w:t xml:space="preserve"> Выпуск воздуха в атмосферу осуществляется: </w:t>
      </w:r>
    </w:p>
    <w:p w:rsidR="00000000" w:rsidRDefault="00B81C70">
      <w:pPr>
        <w:ind w:firstLine="284"/>
        <w:jc w:val="both"/>
      </w:pPr>
      <w:r>
        <w:t xml:space="preserve">а) при холодном чердаке через вытяжные шахты, завершающие каждую вертикаль </w:t>
      </w:r>
      <w:proofErr w:type="spellStart"/>
      <w:r>
        <w:t>вентблоков</w:t>
      </w:r>
      <w:proofErr w:type="spellEnd"/>
      <w:r>
        <w:t xml:space="preserve"> и проходящие транзитом через чердачное помещение. </w:t>
      </w:r>
    </w:p>
    <w:p w:rsidR="00000000" w:rsidRDefault="00B81C70">
      <w:pPr>
        <w:ind w:firstLine="284"/>
        <w:jc w:val="both"/>
      </w:pPr>
      <w:r>
        <w:t>Применение сборных горизонтальных коробов на холодном чердаке неизбежно сопряжено с повышением сопротивления общего участка вентиляционной сети и, как правило, приводит к периодическим нарушениям циркуляции воздуха в системе;</w:t>
      </w:r>
    </w:p>
    <w:p w:rsidR="00000000" w:rsidRDefault="00B81C70">
      <w:pPr>
        <w:ind w:firstLine="284"/>
        <w:jc w:val="both"/>
      </w:pPr>
      <w:r>
        <w:t xml:space="preserve">б) при теплом чердаке через общую вытяжную шахту, одну на секцию дома, размещаемую в </w:t>
      </w:r>
      <w:r>
        <w:t xml:space="preserve">центральной части соответствующей секции чердака. При этом воздух из </w:t>
      </w:r>
      <w:proofErr w:type="spellStart"/>
      <w:r>
        <w:t>вентканалов</w:t>
      </w:r>
      <w:proofErr w:type="spellEnd"/>
      <w:r>
        <w:t xml:space="preserve"> всех квартир поступает в объем чердака через оголовки в виде диффузора.</w:t>
      </w:r>
    </w:p>
    <w:p w:rsidR="00000000" w:rsidRDefault="00B81C70">
      <w:pPr>
        <w:ind w:firstLine="284"/>
        <w:jc w:val="both"/>
      </w:pPr>
      <w:r>
        <w:t>При расчете и устройстве теплого чердака и сборной вытяжной шахты следует пользоваться Рекомендациями по проектированию железобетонных крыш с теплым чердаком для многоэтажных жилых зданий/ЦНИИЭП жилища.— 1986.</w:t>
      </w:r>
    </w:p>
    <w:p w:rsidR="00000000" w:rsidRDefault="00B81C70">
      <w:pPr>
        <w:ind w:firstLine="284"/>
        <w:jc w:val="both"/>
      </w:pPr>
      <w:r>
        <w:t xml:space="preserve">Выделять в оголовке обособленный канал для верхнего этажа не рекомендуется, так как при этом исключается </w:t>
      </w:r>
      <w:proofErr w:type="spellStart"/>
      <w:r>
        <w:t>эжекция</w:t>
      </w:r>
      <w:proofErr w:type="spellEnd"/>
      <w:r>
        <w:t xml:space="preserve"> воздуха из попутчиков верхних этажей</w:t>
      </w:r>
      <w:r>
        <w:t xml:space="preserve">. </w:t>
      </w:r>
    </w:p>
    <w:p w:rsidR="00000000" w:rsidRDefault="00B81C70">
      <w:pPr>
        <w:ind w:firstLine="284"/>
        <w:jc w:val="both"/>
      </w:pPr>
      <w:r>
        <w:rPr>
          <w:b/>
        </w:rPr>
        <w:t>4.10.</w:t>
      </w:r>
      <w:r>
        <w:t xml:space="preserve"> При конструировании </w:t>
      </w:r>
      <w:proofErr w:type="spellStart"/>
      <w:r>
        <w:t>вентблоков</w:t>
      </w:r>
      <w:proofErr w:type="spellEnd"/>
      <w:r>
        <w:t xml:space="preserve"> рекомендуется: </w:t>
      </w:r>
    </w:p>
    <w:p w:rsidR="00000000" w:rsidRDefault="00B81C70">
      <w:pPr>
        <w:ind w:firstLine="284"/>
        <w:jc w:val="both"/>
      </w:pPr>
      <w:r>
        <w:t>стремиться к минимальному количеству вытяжных каналов (как правило, сборный — один, попутчики минимальной длины, но не менее 2 м);</w:t>
      </w:r>
    </w:p>
    <w:p w:rsidR="00000000" w:rsidRDefault="00B81C70">
      <w:pPr>
        <w:ind w:firstLine="284"/>
        <w:jc w:val="both"/>
      </w:pPr>
      <w:r>
        <w:t xml:space="preserve">обеспечить стабильность геометрии отдельных узлов в процессе изготовления </w:t>
      </w:r>
      <w:proofErr w:type="spellStart"/>
      <w:r>
        <w:t>вентблоков</w:t>
      </w:r>
      <w:proofErr w:type="spellEnd"/>
      <w:r>
        <w:t>;</w:t>
      </w:r>
    </w:p>
    <w:p w:rsidR="00000000" w:rsidRDefault="00B81C70">
      <w:pPr>
        <w:ind w:firstLine="284"/>
        <w:jc w:val="both"/>
      </w:pPr>
      <w:r>
        <w:t xml:space="preserve">обеспечить сохранение пропускной способности всех каналов </w:t>
      </w:r>
      <w:proofErr w:type="spellStart"/>
      <w:r>
        <w:t>вентблока</w:t>
      </w:r>
      <w:proofErr w:type="spellEnd"/>
      <w:r>
        <w:t xml:space="preserve"> при принятых в проекте допусках на его смещение в процессе монтажа.</w:t>
      </w:r>
    </w:p>
    <w:p w:rsidR="00000000" w:rsidRDefault="00B81C70">
      <w:pPr>
        <w:ind w:firstLine="284"/>
        <w:jc w:val="both"/>
      </w:pPr>
      <w:r>
        <w:t xml:space="preserve">Применение </w:t>
      </w:r>
      <w:proofErr w:type="spellStart"/>
      <w:r>
        <w:t>вентблоков</w:t>
      </w:r>
      <w:proofErr w:type="spellEnd"/>
      <w:r>
        <w:t xml:space="preserve"> левого и правого исполнения нежелательно в связи с частыми нарушениями схемы вент</w:t>
      </w:r>
      <w:r>
        <w:t>иляции при монтаже.</w:t>
      </w:r>
    </w:p>
    <w:p w:rsidR="00000000" w:rsidRDefault="00B81C70">
      <w:pPr>
        <w:ind w:firstLine="284"/>
        <w:jc w:val="both"/>
      </w:pPr>
      <w:r>
        <w:rPr>
          <w:b/>
        </w:rPr>
        <w:t>4.11.</w:t>
      </w:r>
      <w:r>
        <w:t xml:space="preserve"> Естественная вытяжная вентиляция жилого дома представляет собой сложную гидравлическую систему, расчет которой требует специальной программы для математического моделирования на ЭВМ.</w:t>
      </w:r>
    </w:p>
    <w:p w:rsidR="00000000" w:rsidRDefault="00B81C70">
      <w:pPr>
        <w:ind w:firstLine="284"/>
        <w:jc w:val="both"/>
      </w:pPr>
      <w:r>
        <w:t>Упрощенный расчет может осуществляться по методике ЦНИИЭП инженерного оборудования.</w:t>
      </w:r>
    </w:p>
    <w:p w:rsidR="00000000" w:rsidRDefault="00B81C70">
      <w:pPr>
        <w:ind w:firstLine="284"/>
        <w:jc w:val="both"/>
      </w:pPr>
      <w:r>
        <w:t xml:space="preserve">Расчет естественной вытяжной вентиляции направлен: </w:t>
      </w:r>
    </w:p>
    <w:p w:rsidR="00000000" w:rsidRDefault="00B81C70">
      <w:pPr>
        <w:ind w:firstLine="284"/>
        <w:jc w:val="both"/>
      </w:pPr>
      <w:r>
        <w:t xml:space="preserve">на определение сечения каналов и геометрии узлов их слияния, а также входов в каналы </w:t>
      </w:r>
      <w:proofErr w:type="spellStart"/>
      <w:r>
        <w:t>вентблоков</w:t>
      </w:r>
      <w:proofErr w:type="spellEnd"/>
      <w:r>
        <w:t>, обеспечивающих их номинальную пропускную способность;</w:t>
      </w:r>
    </w:p>
    <w:p w:rsidR="00000000" w:rsidRDefault="00B81C70">
      <w:pPr>
        <w:ind w:firstLine="284"/>
        <w:jc w:val="both"/>
      </w:pPr>
      <w:r>
        <w:t>на определение о</w:t>
      </w:r>
      <w:r>
        <w:t xml:space="preserve">бласти применения существующих или вновь разрабатываемых </w:t>
      </w:r>
      <w:proofErr w:type="spellStart"/>
      <w:r>
        <w:t>вентблоков</w:t>
      </w:r>
      <w:proofErr w:type="spellEnd"/>
      <w:r>
        <w:t xml:space="preserve"> в зависимости от этажности и других конструктивно-планировочных решений зданий.</w:t>
      </w:r>
    </w:p>
    <w:p w:rsidR="00000000" w:rsidRDefault="00B81C70">
      <w:pPr>
        <w:ind w:firstLine="284"/>
        <w:jc w:val="both"/>
      </w:pPr>
      <w:r>
        <w:rPr>
          <w:b/>
        </w:rPr>
        <w:t>4.12.</w:t>
      </w:r>
      <w:r>
        <w:t xml:space="preserve"> Для уменьшения ошибок при выполнении вытяжной вентиляции различных зданий необходима максимальная унификация применяемых в настоящее время и разрабатываемых вновь конструкций </w:t>
      </w:r>
      <w:proofErr w:type="spellStart"/>
      <w:r>
        <w:t>вентблоков</w:t>
      </w:r>
      <w:proofErr w:type="spellEnd"/>
      <w:r>
        <w:t xml:space="preserve"> и сокращение их номенклатуры, что можно осуществить на основе упрощенного расчета </w:t>
      </w:r>
      <w:proofErr w:type="spellStart"/>
      <w:r>
        <w:t>вентблоков</w:t>
      </w:r>
      <w:proofErr w:type="spellEnd"/>
      <w:r>
        <w:t xml:space="preserve"> (см. 4.11 ).</w:t>
      </w:r>
    </w:p>
    <w:p w:rsidR="00000000" w:rsidRDefault="00B81C70">
      <w:pPr>
        <w:ind w:firstLine="284"/>
        <w:jc w:val="both"/>
      </w:pPr>
      <w:r>
        <w:rPr>
          <w:b/>
        </w:rPr>
        <w:t>4.13.</w:t>
      </w:r>
      <w:r>
        <w:t xml:space="preserve"> Повышение эксплуатационной надежности (предотвращение “опрок</w:t>
      </w:r>
      <w:r>
        <w:t xml:space="preserve">идывания” потока воздуха) системы естественной вытяжной вентиляции и одновременно сокращение материалоемкости и трудозатрат достигаются при использовании одной вертикали вытяжных каналов на квартиру путем использования объединенных </w:t>
      </w:r>
      <w:proofErr w:type="spellStart"/>
      <w:r>
        <w:t>вентблоков</w:t>
      </w:r>
      <w:proofErr w:type="spellEnd"/>
      <w:r>
        <w:t xml:space="preserve">. Пример решения объединенного </w:t>
      </w:r>
      <w:proofErr w:type="spellStart"/>
      <w:r>
        <w:t>вентблока</w:t>
      </w:r>
      <w:proofErr w:type="spellEnd"/>
      <w:r>
        <w:t>, совмещенного с санитарно-технической кабиной, представлен на рис. 3.</w:t>
      </w:r>
    </w:p>
    <w:p w:rsidR="00000000" w:rsidRDefault="00B81C70">
      <w:pPr>
        <w:ind w:firstLine="284"/>
        <w:jc w:val="both"/>
      </w:pPr>
    </w:p>
    <w:p w:rsidR="00000000" w:rsidRDefault="00B81C70">
      <w:pPr>
        <w:ind w:firstLine="284"/>
        <w:jc w:val="both"/>
      </w:pPr>
    </w:p>
    <w:p w:rsidR="00000000" w:rsidRDefault="00B81C70">
      <w:pPr>
        <w:jc w:val="center"/>
      </w:pPr>
      <w:r>
        <w:pict>
          <v:shape id="_x0000_i1035" type="#_x0000_t75" style="width:309.75pt;height:180.75pt">
            <v:imagedata r:id="rId20" o:title=""/>
          </v:shape>
        </w:pict>
      </w:r>
    </w:p>
    <w:p w:rsidR="00000000" w:rsidRDefault="00B81C70">
      <w:pPr>
        <w:jc w:val="center"/>
      </w:pPr>
    </w:p>
    <w:p w:rsidR="00000000" w:rsidRDefault="00B81C70">
      <w:pPr>
        <w:jc w:val="center"/>
        <w:rPr>
          <w:b/>
        </w:rPr>
      </w:pPr>
      <w:r>
        <w:rPr>
          <w:b/>
        </w:rPr>
        <w:t xml:space="preserve">Рис. 3. Объединенный </w:t>
      </w:r>
      <w:proofErr w:type="spellStart"/>
      <w:r>
        <w:rPr>
          <w:b/>
        </w:rPr>
        <w:t>вентблок</w:t>
      </w:r>
      <w:proofErr w:type="spellEnd"/>
      <w:r>
        <w:rPr>
          <w:b/>
        </w:rPr>
        <w:t xml:space="preserve">, совмещенный с </w:t>
      </w:r>
      <w:proofErr w:type="spellStart"/>
      <w:r>
        <w:rPr>
          <w:b/>
        </w:rPr>
        <w:t>сантехкабиной</w:t>
      </w:r>
      <w:proofErr w:type="spellEnd"/>
    </w:p>
    <w:p w:rsidR="00000000" w:rsidRDefault="00B81C70">
      <w:pPr>
        <w:jc w:val="center"/>
        <w:rPr>
          <w:b/>
        </w:rPr>
      </w:pPr>
    </w:p>
    <w:p w:rsidR="00000000" w:rsidRDefault="00B81C70">
      <w:pPr>
        <w:jc w:val="center"/>
      </w:pPr>
      <w:r>
        <w:rPr>
          <w:i/>
        </w:rPr>
        <w:t>1 —</w:t>
      </w:r>
      <w:r>
        <w:t xml:space="preserve"> “колпак” с </w:t>
      </w:r>
      <w:proofErr w:type="spellStart"/>
      <w:r>
        <w:t>вентблоком</w:t>
      </w:r>
      <w:proofErr w:type="spellEnd"/>
      <w:r>
        <w:t xml:space="preserve">; </w:t>
      </w:r>
      <w:r>
        <w:rPr>
          <w:i/>
        </w:rPr>
        <w:t>2 —</w:t>
      </w:r>
      <w:r>
        <w:t xml:space="preserve"> днище </w:t>
      </w:r>
      <w:proofErr w:type="spellStart"/>
      <w:r>
        <w:t>снтехкабины</w:t>
      </w:r>
      <w:proofErr w:type="spellEnd"/>
      <w:r>
        <w:t xml:space="preserve">; </w:t>
      </w:r>
      <w:r>
        <w:rPr>
          <w:i/>
        </w:rPr>
        <w:t xml:space="preserve">3 </w:t>
      </w:r>
      <w:r>
        <w:rPr>
          <w:b/>
          <w:i/>
        </w:rPr>
        <w:t>—</w:t>
      </w:r>
      <w:r>
        <w:t xml:space="preserve"> прокладка уплотнительная; </w:t>
      </w:r>
    </w:p>
    <w:p w:rsidR="00000000" w:rsidRDefault="00B81C70">
      <w:pPr>
        <w:jc w:val="center"/>
      </w:pPr>
      <w:r>
        <w:rPr>
          <w:i/>
        </w:rPr>
        <w:t>4 —</w:t>
      </w:r>
      <w:r>
        <w:t xml:space="preserve"> проволочн</w:t>
      </w:r>
      <w:r>
        <w:t xml:space="preserve">ые ограничители, </w:t>
      </w:r>
      <w:r>
        <w:rPr>
          <w:i/>
        </w:rPr>
        <w:t>5</w:t>
      </w:r>
      <w:r>
        <w:t xml:space="preserve"> — междуэтажное перекрытие</w:t>
      </w:r>
    </w:p>
    <w:p w:rsidR="00000000" w:rsidRDefault="00B81C70">
      <w:pPr>
        <w:jc w:val="both"/>
      </w:pPr>
    </w:p>
    <w:p w:rsidR="00000000" w:rsidRDefault="00B81C70">
      <w:pPr>
        <w:ind w:firstLine="284"/>
        <w:jc w:val="both"/>
      </w:pPr>
      <w:r>
        <w:t xml:space="preserve">Применение двух объединенных или объединенного и раздельного </w:t>
      </w:r>
      <w:proofErr w:type="spellStart"/>
      <w:r>
        <w:t>вентблоков</w:t>
      </w:r>
      <w:proofErr w:type="spellEnd"/>
      <w:r>
        <w:t xml:space="preserve"> в </w:t>
      </w:r>
      <w:proofErr w:type="spellStart"/>
      <w:r>
        <w:t>зонированных</w:t>
      </w:r>
      <w:proofErr w:type="spellEnd"/>
      <w:r>
        <w:t xml:space="preserve"> квартирах ведет, как правило, к чрезмерной интенсификации воздухообмена и поэтому нежелательно.</w:t>
      </w:r>
    </w:p>
    <w:p w:rsidR="00000000" w:rsidRDefault="00B81C70">
      <w:pPr>
        <w:ind w:firstLine="284"/>
        <w:jc w:val="both"/>
      </w:pPr>
      <w:r>
        <w:t xml:space="preserve">При применении двух </w:t>
      </w:r>
      <w:proofErr w:type="spellStart"/>
      <w:r>
        <w:t>вентблоков</w:t>
      </w:r>
      <w:proofErr w:type="spellEnd"/>
      <w:r>
        <w:t xml:space="preserve"> в одной вертикали квартир необходимо обеспечить одинаковые условия истечения вентиляционного воздуха в атмосферу (в частности, отметку выброса в случае самостоятельных шахт).</w:t>
      </w:r>
    </w:p>
    <w:p w:rsidR="00000000" w:rsidRDefault="00B81C70">
      <w:pPr>
        <w:ind w:firstLine="284"/>
        <w:jc w:val="both"/>
      </w:pPr>
      <w:r>
        <w:rPr>
          <w:b/>
        </w:rPr>
        <w:t>4.14.</w:t>
      </w:r>
      <w:r>
        <w:t xml:space="preserve"> Применение одинаковых </w:t>
      </w:r>
      <w:proofErr w:type="spellStart"/>
      <w:r>
        <w:t>вентблоков</w:t>
      </w:r>
      <w:proofErr w:type="spellEnd"/>
      <w:r>
        <w:t xml:space="preserve"> по высоте здания предопределяет неравн</w:t>
      </w:r>
      <w:r>
        <w:t>омерность удаления воздуха по вертикали квартир.</w:t>
      </w:r>
    </w:p>
    <w:p w:rsidR="00000000" w:rsidRDefault="00B81C70">
      <w:pPr>
        <w:ind w:firstLine="284"/>
        <w:jc w:val="both"/>
      </w:pPr>
      <w:r>
        <w:t xml:space="preserve">Повышение равномерности распределения расходов воздуха достигается при увеличении сопротивления входа в </w:t>
      </w:r>
      <w:proofErr w:type="spellStart"/>
      <w:r>
        <w:t>вентблок</w:t>
      </w:r>
      <w:proofErr w:type="spellEnd"/>
      <w:r>
        <w:t xml:space="preserve"> или обеспечении переменной по высоте здания величины сопротивления входа в </w:t>
      </w:r>
      <w:proofErr w:type="spellStart"/>
      <w:r>
        <w:t>вентблок</w:t>
      </w:r>
      <w:proofErr w:type="spellEnd"/>
      <w:r>
        <w:t xml:space="preserve">. Последнее можно осуществить с помощью вентиляционных решеток с монтажной регулировкой (например, конструкции ЦНИИЭП инженерного оборудования) или специальных накладок (например, из </w:t>
      </w:r>
      <w:proofErr w:type="spellStart"/>
      <w:r>
        <w:t>оргалита</w:t>
      </w:r>
      <w:proofErr w:type="spellEnd"/>
      <w:r>
        <w:t xml:space="preserve">) с отверстиями разной площади на вход в </w:t>
      </w:r>
      <w:proofErr w:type="spellStart"/>
      <w:r>
        <w:t>вентблок</w:t>
      </w:r>
      <w:proofErr w:type="spellEnd"/>
      <w:r>
        <w:t>.</w:t>
      </w:r>
    </w:p>
    <w:p w:rsidR="00000000" w:rsidRDefault="00B81C70">
      <w:pPr>
        <w:ind w:firstLine="284"/>
        <w:jc w:val="both"/>
      </w:pPr>
      <w:r>
        <w:t>Расширение области примен</w:t>
      </w:r>
      <w:r>
        <w:t xml:space="preserve">ения </w:t>
      </w:r>
      <w:proofErr w:type="spellStart"/>
      <w:r>
        <w:t>вентблоков</w:t>
      </w:r>
      <w:proofErr w:type="spellEnd"/>
      <w:r>
        <w:t xml:space="preserve"> для зданий различной этажности и изменение их номинальной производительности (см. п. 4.2) возможны с помощью специально рассчитанных накладок.</w:t>
      </w:r>
    </w:p>
    <w:p w:rsidR="00000000" w:rsidRDefault="00B81C70">
      <w:pPr>
        <w:ind w:firstLine="284"/>
        <w:jc w:val="both"/>
      </w:pPr>
      <w:r>
        <w:rPr>
          <w:b/>
        </w:rPr>
        <w:t>4.15.</w:t>
      </w:r>
      <w:r>
        <w:t xml:space="preserve"> Конструкция и технология монтажа вентиляционных блоков должны предусматривать возможность герметизации их междуэтажных стыков.</w:t>
      </w:r>
    </w:p>
    <w:p w:rsidR="00000000" w:rsidRDefault="00B81C70">
      <w:pPr>
        <w:ind w:firstLine="284"/>
        <w:jc w:val="both"/>
      </w:pPr>
      <w:r>
        <w:t xml:space="preserve">Герметичность вентиляционной сети имеет особое значение для естественной вытяжной вентиляции. Наличие </w:t>
      </w:r>
      <w:proofErr w:type="spellStart"/>
      <w:r>
        <w:t>неплотностей</w:t>
      </w:r>
      <w:proofErr w:type="spellEnd"/>
      <w:r>
        <w:t xml:space="preserve"> приводит не только к избыточному воздухообмену в квартирах нижних этажей многоэтажных зданий, но и к выбр</w:t>
      </w:r>
      <w:r>
        <w:t xml:space="preserve">осам загрязненного воздуха через них из сборного канала в квартиры верхних этажей. В проектах необходимо предусматривать специальную технологию заделки междуэтажных стыков </w:t>
      </w:r>
      <w:proofErr w:type="spellStart"/>
      <w:r>
        <w:t>вентблоков</w:t>
      </w:r>
      <w:proofErr w:type="spellEnd"/>
      <w:r>
        <w:t xml:space="preserve"> с применением упругих прокладок.</w:t>
      </w:r>
    </w:p>
    <w:p w:rsidR="00000000" w:rsidRDefault="00B81C70">
      <w:pPr>
        <w:ind w:firstLine="284"/>
        <w:jc w:val="both"/>
      </w:pPr>
      <w:r>
        <w:rPr>
          <w:b/>
        </w:rPr>
        <w:t>4.16.</w:t>
      </w:r>
      <w:r>
        <w:t xml:space="preserve"> Устойчивое удаление воздуха из квартир верхних этажей обеспечивается при правильном выборе </w:t>
      </w:r>
      <w:proofErr w:type="spellStart"/>
      <w:r>
        <w:t>вентблоков</w:t>
      </w:r>
      <w:proofErr w:type="spellEnd"/>
      <w:r>
        <w:t xml:space="preserve"> для зданий конкретной этажности и конструкции чердака.</w:t>
      </w:r>
    </w:p>
    <w:p w:rsidR="00000000" w:rsidRDefault="00B81C70">
      <w:pPr>
        <w:ind w:firstLine="284"/>
        <w:jc w:val="both"/>
      </w:pPr>
      <w:r>
        <w:t xml:space="preserve">Установка вытяжных вентиляторов на входе в </w:t>
      </w:r>
      <w:proofErr w:type="spellStart"/>
      <w:r>
        <w:t>вентблок</w:t>
      </w:r>
      <w:proofErr w:type="spellEnd"/>
      <w:r>
        <w:t xml:space="preserve"> двух верхних этажей, предусмотренная </w:t>
      </w:r>
      <w:proofErr w:type="spellStart"/>
      <w:r>
        <w:t>СНиПом</w:t>
      </w:r>
      <w:proofErr w:type="spellEnd"/>
      <w:r>
        <w:t>, ухудшает воздухообмен в квартирах, т</w:t>
      </w:r>
      <w:r>
        <w:t>ак как вентиляторы не рассчитаны на постоянную работу, а в период бездействия затрудняют удаление воздуха из-за чрезмерного сопротивления.</w:t>
      </w:r>
    </w:p>
    <w:p w:rsidR="00000000" w:rsidRDefault="00B81C70">
      <w:pPr>
        <w:ind w:firstLine="284"/>
        <w:jc w:val="both"/>
      </w:pPr>
      <w:r>
        <w:rPr>
          <w:b/>
        </w:rPr>
        <w:t>4.17.</w:t>
      </w:r>
      <w:r>
        <w:t xml:space="preserve"> Конструкции транзитных участков </w:t>
      </w:r>
      <w:proofErr w:type="spellStart"/>
      <w:r>
        <w:t>вентблоков</w:t>
      </w:r>
      <w:proofErr w:type="spellEnd"/>
      <w:r>
        <w:t>, проходящих через холодный или открытый чердаки, а также вентиляционных шахт на кровле должны иметь термическое сопротивление не менее чем термическое сопротивление наружных стен жилых зданий в данном климатическом районе. Для уменьшения массы и габаритов указанных конструкций, предусматриваемое настоящим пунктом, термичес</w:t>
      </w:r>
      <w:r>
        <w:t>кое сопротивление может быть достигнуто за счет эффективной теплоизоляции. То же относится к вентиляционным участкам канализационных стояков и мусоропровода.</w:t>
      </w:r>
    </w:p>
    <w:p w:rsidR="00000000" w:rsidRDefault="00B81C70">
      <w:pPr>
        <w:ind w:firstLine="284"/>
        <w:jc w:val="both"/>
      </w:pPr>
    </w:p>
    <w:p w:rsidR="00000000" w:rsidRDefault="00B81C70">
      <w:pPr>
        <w:ind w:firstLine="284"/>
        <w:jc w:val="center"/>
      </w:pPr>
      <w:r>
        <w:t>СОДЕРЖАНИЕ</w:t>
      </w:r>
    </w:p>
    <w:p w:rsidR="00000000" w:rsidRDefault="00B81C70">
      <w:pPr>
        <w:ind w:firstLine="284"/>
        <w:jc w:val="center"/>
      </w:pPr>
    </w:p>
    <w:p w:rsidR="00000000" w:rsidRDefault="00B81C70">
      <w:pPr>
        <w:pStyle w:val="11"/>
        <w:ind w:firstLine="284"/>
      </w:pPr>
      <w:r>
        <w:t>П</w:t>
      </w:r>
      <w:r>
        <w:rPr>
          <w:noProof/>
        </w:rPr>
        <w:t>РЕДИСЛОВИЕ</w:t>
      </w:r>
    </w:p>
    <w:p w:rsidR="00000000" w:rsidRDefault="00B81C70">
      <w:pPr>
        <w:pStyle w:val="11"/>
        <w:ind w:firstLine="284"/>
      </w:pPr>
    </w:p>
    <w:p w:rsidR="00000000" w:rsidRDefault="00B81C70">
      <w:pPr>
        <w:pStyle w:val="11"/>
        <w:ind w:firstLine="284"/>
        <w:rPr>
          <w:noProof/>
        </w:rPr>
      </w:pPr>
      <w:r>
        <w:rPr>
          <w:noProof/>
        </w:rPr>
        <w:t>1. КОНСТРУКТИВНО-ПЛАНИРОВОЧНЫЕ РЕШЕНИЯ ЖИЛЫХ ЗДАНИЙ</w:t>
      </w:r>
    </w:p>
    <w:p w:rsidR="00000000" w:rsidRDefault="00B81C70">
      <w:pPr>
        <w:pStyle w:val="11"/>
        <w:ind w:firstLine="284"/>
        <w:rPr>
          <w:noProof/>
        </w:rPr>
      </w:pPr>
      <w:r>
        <w:rPr>
          <w:noProof/>
        </w:rPr>
        <w:t>2. РАСЧЕТ ТЕПЛОПОТЕРЬ</w:t>
      </w:r>
    </w:p>
    <w:p w:rsidR="00000000" w:rsidRDefault="00B81C70">
      <w:pPr>
        <w:ind w:firstLine="284"/>
        <w:jc w:val="both"/>
      </w:pPr>
      <w:r>
        <w:rPr>
          <w:noProof/>
        </w:rPr>
        <w:t>3. ОТОПЛЕНИЕ</w:t>
      </w:r>
    </w:p>
    <w:p w:rsidR="00000000" w:rsidRDefault="00B81C70">
      <w:pPr>
        <w:ind w:firstLine="284"/>
        <w:jc w:val="both"/>
      </w:pPr>
      <w:r>
        <w:rPr>
          <w:noProof/>
        </w:rPr>
        <w:t>4. ВЕНТИЛЯЦИЯ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1C70"/>
    <w:rsid w:val="00B8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index 1"/>
    <w:basedOn w:val="a"/>
    <w:next w:val="a"/>
    <w:semiHidden/>
    <w:pPr>
      <w:tabs>
        <w:tab w:val="right" w:leader="dot" w:pos="2756"/>
      </w:tabs>
      <w:ind w:left="200" w:hanging="200"/>
    </w:pPr>
  </w:style>
  <w:style w:type="paragraph" w:styleId="2">
    <w:name w:val="index 2"/>
    <w:basedOn w:val="a"/>
    <w:next w:val="a"/>
    <w:semiHidden/>
    <w:pPr>
      <w:tabs>
        <w:tab w:val="right" w:leader="dot" w:pos="2756"/>
      </w:tabs>
      <w:ind w:left="400" w:hanging="200"/>
    </w:pPr>
  </w:style>
  <w:style w:type="paragraph" w:styleId="3">
    <w:name w:val="index 3"/>
    <w:basedOn w:val="a"/>
    <w:next w:val="a"/>
    <w:semiHidden/>
    <w:pPr>
      <w:tabs>
        <w:tab w:val="right" w:leader="dot" w:pos="2756"/>
      </w:tabs>
      <w:ind w:left="600" w:hanging="200"/>
    </w:pPr>
  </w:style>
  <w:style w:type="paragraph" w:styleId="4">
    <w:name w:val="index 4"/>
    <w:basedOn w:val="a"/>
    <w:next w:val="a"/>
    <w:semiHidden/>
    <w:pPr>
      <w:tabs>
        <w:tab w:val="right" w:leader="dot" w:pos="2756"/>
      </w:tabs>
      <w:ind w:left="800" w:hanging="200"/>
    </w:pPr>
  </w:style>
  <w:style w:type="paragraph" w:styleId="5">
    <w:name w:val="index 5"/>
    <w:basedOn w:val="a"/>
    <w:next w:val="a"/>
    <w:semiHidden/>
    <w:pPr>
      <w:tabs>
        <w:tab w:val="right" w:leader="dot" w:pos="2756"/>
      </w:tabs>
      <w:ind w:left="1000" w:hanging="200"/>
    </w:pPr>
  </w:style>
  <w:style w:type="paragraph" w:styleId="6">
    <w:name w:val="index 6"/>
    <w:basedOn w:val="a"/>
    <w:next w:val="a"/>
    <w:semiHidden/>
    <w:pPr>
      <w:tabs>
        <w:tab w:val="right" w:leader="dot" w:pos="2756"/>
      </w:tabs>
      <w:ind w:left="1200" w:hanging="200"/>
    </w:pPr>
  </w:style>
  <w:style w:type="paragraph" w:styleId="7">
    <w:name w:val="index 7"/>
    <w:basedOn w:val="a"/>
    <w:next w:val="a"/>
    <w:semiHidden/>
    <w:pPr>
      <w:tabs>
        <w:tab w:val="right" w:leader="dot" w:pos="2756"/>
      </w:tabs>
      <w:ind w:left="1400" w:hanging="200"/>
    </w:pPr>
  </w:style>
  <w:style w:type="paragraph" w:styleId="8">
    <w:name w:val="index 8"/>
    <w:basedOn w:val="a"/>
    <w:next w:val="a"/>
    <w:semiHidden/>
    <w:pPr>
      <w:tabs>
        <w:tab w:val="right" w:leader="dot" w:pos="2756"/>
      </w:tabs>
      <w:ind w:left="1600" w:hanging="200"/>
    </w:pPr>
  </w:style>
  <w:style w:type="paragraph" w:styleId="9">
    <w:name w:val="index 9"/>
    <w:basedOn w:val="a"/>
    <w:next w:val="a"/>
    <w:semiHidden/>
    <w:pPr>
      <w:tabs>
        <w:tab w:val="right" w:leader="dot" w:pos="2756"/>
      </w:tabs>
      <w:ind w:left="1800" w:hanging="200"/>
    </w:pPr>
  </w:style>
  <w:style w:type="paragraph" w:styleId="a3">
    <w:name w:val="index heading"/>
    <w:basedOn w:val="a"/>
    <w:next w:val="10"/>
    <w:semiHidden/>
  </w:style>
  <w:style w:type="paragraph" w:styleId="11">
    <w:name w:val="toc 1"/>
    <w:basedOn w:val="a"/>
    <w:next w:val="a"/>
    <w:semiHidden/>
    <w:pPr>
      <w:tabs>
        <w:tab w:val="right" w:leader="dot" w:pos="6232"/>
      </w:tabs>
    </w:pPr>
  </w:style>
  <w:style w:type="paragraph" w:styleId="20">
    <w:name w:val="toc 2"/>
    <w:basedOn w:val="a"/>
    <w:next w:val="a"/>
    <w:semiHidden/>
    <w:pPr>
      <w:tabs>
        <w:tab w:val="right" w:leader="dot" w:pos="6232"/>
      </w:tabs>
      <w:ind w:left="200"/>
    </w:pPr>
  </w:style>
  <w:style w:type="paragraph" w:styleId="30">
    <w:name w:val="toc 3"/>
    <w:basedOn w:val="a"/>
    <w:next w:val="a"/>
    <w:semiHidden/>
    <w:pPr>
      <w:tabs>
        <w:tab w:val="right" w:leader="dot" w:pos="6232"/>
      </w:tabs>
      <w:ind w:left="400"/>
    </w:pPr>
  </w:style>
  <w:style w:type="paragraph" w:styleId="40">
    <w:name w:val="toc 4"/>
    <w:basedOn w:val="a"/>
    <w:next w:val="a"/>
    <w:semiHidden/>
    <w:pPr>
      <w:tabs>
        <w:tab w:val="right" w:leader="dot" w:pos="6232"/>
      </w:tabs>
      <w:ind w:left="600"/>
    </w:pPr>
  </w:style>
  <w:style w:type="paragraph" w:styleId="50">
    <w:name w:val="toc 5"/>
    <w:basedOn w:val="a"/>
    <w:next w:val="a"/>
    <w:semiHidden/>
    <w:pPr>
      <w:tabs>
        <w:tab w:val="right" w:leader="dot" w:pos="6232"/>
      </w:tabs>
      <w:ind w:left="800"/>
    </w:pPr>
  </w:style>
  <w:style w:type="paragraph" w:styleId="60">
    <w:name w:val="toc 6"/>
    <w:basedOn w:val="a"/>
    <w:next w:val="a"/>
    <w:semiHidden/>
    <w:pPr>
      <w:tabs>
        <w:tab w:val="right" w:leader="dot" w:pos="6232"/>
      </w:tabs>
      <w:ind w:left="1000"/>
    </w:pPr>
  </w:style>
  <w:style w:type="paragraph" w:styleId="70">
    <w:name w:val="toc 7"/>
    <w:basedOn w:val="a"/>
    <w:next w:val="a"/>
    <w:semiHidden/>
    <w:pPr>
      <w:tabs>
        <w:tab w:val="right" w:leader="dot" w:pos="6232"/>
      </w:tabs>
      <w:ind w:left="1200"/>
    </w:pPr>
  </w:style>
  <w:style w:type="paragraph" w:styleId="80">
    <w:name w:val="toc 8"/>
    <w:basedOn w:val="a"/>
    <w:next w:val="a"/>
    <w:semiHidden/>
    <w:pPr>
      <w:tabs>
        <w:tab w:val="right" w:leader="dot" w:pos="6232"/>
      </w:tabs>
      <w:ind w:left="1400"/>
    </w:pPr>
  </w:style>
  <w:style w:type="paragraph" w:styleId="90">
    <w:name w:val="toc 9"/>
    <w:basedOn w:val="a"/>
    <w:next w:val="a"/>
    <w:semiHidden/>
    <w:pPr>
      <w:tabs>
        <w:tab w:val="right" w:leader="dot" w:pos="6232"/>
      </w:tabs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10" Type="http://schemas.openxmlformats.org/officeDocument/2006/relationships/oleObject" Target="embeddings/oleObject4.bin"/><Relationship Id="rId19" Type="http://schemas.openxmlformats.org/officeDocument/2006/relationships/image" Target="media/image9.pn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6194</Words>
  <Characters>35307</Characters>
  <Application>Microsoft Office Word</Application>
  <DocSecurity>0</DocSecurity>
  <Lines>294</Lines>
  <Paragraphs>82</Paragraphs>
  <ScaleCrop>false</ScaleCrop>
  <Company>СНИиП</Company>
  <LinksUpToDate>false</LinksUpToDate>
  <CharactersWithSpaces>41419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СНиП 2.08.01-89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2013-04-11T11:33:00Z</dcterms:created>
  <dcterms:modified xsi:type="dcterms:W3CDTF">2013-04-11T11:33:00Z</dcterms:modified>
</cp:coreProperties>
</file>