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73CC">
      <w:pPr>
        <w:ind w:firstLine="284"/>
        <w:jc w:val="center"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C173CC">
      <w:pPr>
        <w:ind w:firstLine="284"/>
        <w:jc w:val="center"/>
      </w:pPr>
      <w:r>
        <w:t>ПО СТРОИТЕЛЬСТВУ И ЖИЛИЩНО-КОММУНАЛЬНОМУ КОМПЛЕКСУ</w:t>
      </w:r>
    </w:p>
    <w:p w:rsidR="00000000" w:rsidRDefault="00C173CC">
      <w:pPr>
        <w:ind w:firstLine="284"/>
        <w:jc w:val="center"/>
      </w:pPr>
    </w:p>
    <w:p w:rsidR="00000000" w:rsidRDefault="00C173CC">
      <w:pPr>
        <w:ind w:firstLine="284"/>
        <w:jc w:val="center"/>
      </w:pPr>
      <w:r>
        <w:t>ГОСУДАРСТВЕННОЕ УНИТАРНОЕ ПРЕДПРИЯТИЕ</w:t>
      </w:r>
    </w:p>
    <w:p w:rsidR="00000000" w:rsidRDefault="00C173CC">
      <w:pPr>
        <w:ind w:firstLine="284"/>
        <w:jc w:val="center"/>
      </w:pPr>
      <w:r>
        <w:t>АКАДЕМИЯ КОММУНАЛЬНОГО ХОЗЯЙСТВА им. К.Д. Памфилова</w:t>
      </w:r>
    </w:p>
    <w:p w:rsidR="00000000" w:rsidRDefault="00C173CC">
      <w:pPr>
        <w:ind w:firstLine="284"/>
        <w:jc w:val="center"/>
      </w:pPr>
    </w:p>
    <w:p w:rsidR="00000000" w:rsidRDefault="00C173CC">
      <w:pPr>
        <w:ind w:firstLine="284"/>
        <w:jc w:val="center"/>
      </w:pPr>
      <w:r>
        <w:t>Федеральный Центр энергоресурсосбережения</w:t>
      </w:r>
    </w:p>
    <w:p w:rsidR="00000000" w:rsidRDefault="00C173CC">
      <w:pPr>
        <w:ind w:firstLine="284"/>
        <w:jc w:val="center"/>
      </w:pPr>
      <w:r>
        <w:t>в жилищно-коммунальном хоз</w:t>
      </w:r>
      <w:r>
        <w:t>яйстве</w:t>
      </w:r>
    </w:p>
    <w:p w:rsidR="00000000" w:rsidRDefault="00C173CC">
      <w:pPr>
        <w:ind w:firstLine="284"/>
        <w:jc w:val="center"/>
      </w:pPr>
    </w:p>
    <w:p w:rsidR="00000000" w:rsidRDefault="00C173CC">
      <w:pPr>
        <w:ind w:firstLine="284"/>
        <w:jc w:val="center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</w:t>
      </w: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первоочередным </w:t>
      </w:r>
      <w:proofErr w:type="spellStart"/>
      <w:r>
        <w:rPr>
          <w:rFonts w:ascii="Times New Roman" w:hAnsi="Times New Roman"/>
        </w:rPr>
        <w:t>малозатратным</w:t>
      </w:r>
      <w:proofErr w:type="spellEnd"/>
      <w:r>
        <w:rPr>
          <w:rFonts w:ascii="Times New Roman" w:hAnsi="Times New Roman"/>
        </w:rPr>
        <w:t xml:space="preserve"> мероприятиям,</w:t>
      </w: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обеспечивающим энергоресурсосбережение</w:t>
      </w: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ЖКХ</w:t>
      </w:r>
      <w:proofErr w:type="spellEnd"/>
      <w:r>
        <w:rPr>
          <w:rFonts w:ascii="Times New Roman" w:hAnsi="Times New Roman"/>
        </w:rPr>
        <w:t xml:space="preserve"> города</w:t>
      </w:r>
    </w:p>
    <w:p w:rsidR="00000000" w:rsidRDefault="00C173CC">
      <w:pPr>
        <w:ind w:firstLine="284"/>
        <w:jc w:val="center"/>
        <w:rPr>
          <w:sz w:val="22"/>
        </w:rPr>
      </w:pPr>
    </w:p>
    <w:p w:rsidR="00000000" w:rsidRDefault="00C173CC">
      <w:pPr>
        <w:ind w:firstLine="284"/>
        <w:jc w:val="center"/>
        <w:rPr>
          <w:b/>
          <w:sz w:val="22"/>
        </w:rPr>
      </w:pPr>
      <w:proofErr w:type="spellStart"/>
      <w:r>
        <w:rPr>
          <w:b/>
          <w:sz w:val="22"/>
        </w:rPr>
        <w:t>МДС</w:t>
      </w:r>
      <w:proofErr w:type="spellEnd"/>
      <w:r>
        <w:rPr>
          <w:b/>
          <w:sz w:val="22"/>
        </w:rPr>
        <w:t xml:space="preserve"> 13-7.2000</w:t>
      </w:r>
    </w:p>
    <w:p w:rsidR="00000000" w:rsidRDefault="00C173CC">
      <w:pPr>
        <w:ind w:firstLine="284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69"/>
        <w:gridCol w:w="4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000000" w:rsidRDefault="00C173CC">
            <w:pPr>
              <w:ind w:firstLine="284"/>
              <w:jc w:val="center"/>
            </w:pPr>
          </w:p>
        </w:tc>
        <w:tc>
          <w:tcPr>
            <w:tcW w:w="4395" w:type="dxa"/>
          </w:tcPr>
          <w:p w:rsidR="00000000" w:rsidRDefault="00C173CC">
            <w:pPr>
              <w:pStyle w:val="Heading"/>
              <w:ind w:firstLine="284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Утверждены</w:t>
            </w:r>
          </w:p>
          <w:p w:rsidR="00000000" w:rsidRDefault="00C173CC">
            <w:pPr>
              <w:ind w:firstLine="284"/>
              <w:jc w:val="center"/>
            </w:pPr>
            <w:r>
              <w:t xml:space="preserve">приказом Госстроя России </w:t>
            </w:r>
          </w:p>
          <w:p w:rsidR="00000000" w:rsidRDefault="00C173CC">
            <w:pPr>
              <w:ind w:firstLine="284"/>
              <w:jc w:val="center"/>
            </w:pPr>
            <w:r>
              <w:t>от 17.01.2000г. № 5</w:t>
            </w:r>
          </w:p>
        </w:tc>
      </w:tr>
    </w:tbl>
    <w:p w:rsidR="00000000" w:rsidRDefault="00C173CC">
      <w:pPr>
        <w:ind w:firstLine="284"/>
        <w:jc w:val="right"/>
      </w:pPr>
    </w:p>
    <w:p w:rsidR="00000000" w:rsidRDefault="00C173CC">
      <w:pPr>
        <w:ind w:firstLine="284"/>
        <w:jc w:val="right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ВВЕДЕНИЕ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Одним из важнейших аспектов реформирования жилищно-коммунального хозяйства является энергоресурсосбережение, т.е. снижение затрат на производство, передачу и потребление энергоресурсов и воды и связанное с этим смягчение для населения условий перехода отрасли на безубыточное функционирование.</w:t>
      </w:r>
    </w:p>
    <w:p w:rsidR="00000000" w:rsidRDefault="00C173CC">
      <w:pPr>
        <w:ind w:firstLine="284"/>
        <w:jc w:val="both"/>
      </w:pPr>
      <w:r>
        <w:t>Законода</w:t>
      </w:r>
      <w:r>
        <w:t>тельной базой энергоресурсосбережения в жилищно-коммунальном хозяйстве являются:</w:t>
      </w:r>
    </w:p>
    <w:p w:rsidR="00000000" w:rsidRDefault="00C173CC">
      <w:pPr>
        <w:ind w:firstLine="284"/>
        <w:jc w:val="both"/>
      </w:pPr>
      <w:r>
        <w:t>- Федеральный закон "Об энергосбережении" от 03.04.96 г. № 28-ФЗ;</w:t>
      </w:r>
    </w:p>
    <w:p w:rsidR="00000000" w:rsidRDefault="00C173CC">
      <w:pPr>
        <w:ind w:firstLine="284"/>
        <w:jc w:val="both"/>
      </w:pPr>
      <w:r>
        <w:t>- Федеральная целевая программа "Энергосбережение России" на 1998 - 2005 гг. с подпрограммой "Энергосбережение в жилищно-коммунальном хозяйстве" (утвержденная постановлением Правительства Российской Федерации от 24.01.98 г. № 80);</w:t>
      </w:r>
    </w:p>
    <w:p w:rsidR="00000000" w:rsidRDefault="00C173CC">
      <w:pPr>
        <w:ind w:firstLine="284"/>
        <w:jc w:val="both"/>
      </w:pPr>
      <w:r>
        <w:t>- постановления Правительства Российской Федерации: № 832  от 08.07.97 г. "О повышении эффективности использования энергетических ресу</w:t>
      </w:r>
      <w:r>
        <w:t>рсов и воды предприятиями, учреждениями и организациями бюджетной сферы" и № 588 от 15.06.1998 г. "О дополнительных мерах по стимулированию энергосбережения в России";</w:t>
      </w:r>
    </w:p>
    <w:p w:rsidR="00000000" w:rsidRDefault="00C173CC">
      <w:pPr>
        <w:ind w:firstLine="284"/>
        <w:jc w:val="both"/>
      </w:pPr>
      <w:r>
        <w:t>- постановлениями региональных органов власти.</w:t>
      </w:r>
    </w:p>
    <w:p w:rsidR="00000000" w:rsidRDefault="00C173CC">
      <w:pPr>
        <w:ind w:firstLine="284"/>
        <w:jc w:val="both"/>
      </w:pPr>
      <w:r>
        <w:t xml:space="preserve">Концепция реализации мер по экономии энергоресурсов и воды изложена в документе "Основные направления и механизм энергоресурсосбережения в жилищно-коммунальном хозяйстве", разработанном Госстроем России и одобренном решением Правительственной комиссии по реформированию </w:t>
      </w:r>
      <w:proofErr w:type="spellStart"/>
      <w:r>
        <w:t>ЖКХ</w:t>
      </w:r>
      <w:proofErr w:type="spellEnd"/>
      <w:r>
        <w:t xml:space="preserve"> Российской Федерации (п</w:t>
      </w:r>
      <w:r>
        <w:t>ротокол от 20 марта 1998г.).</w:t>
      </w:r>
    </w:p>
    <w:p w:rsidR="00000000" w:rsidRDefault="00C173CC">
      <w:pPr>
        <w:ind w:firstLine="284"/>
        <w:jc w:val="both"/>
      </w:pPr>
      <w:r>
        <w:t xml:space="preserve">Научно-техническое руководство проведением работ по экономии энергоресурсов и воды поручено Федеральному центру энергоресурсосбережения в </w:t>
      </w:r>
      <w:proofErr w:type="spellStart"/>
      <w:r>
        <w:t>ЖКХ</w:t>
      </w:r>
      <w:proofErr w:type="spellEnd"/>
      <w:r>
        <w:t>, созданному на базе при Академии коммунального хозяйства приказом Госстроя России № 17-76 от 16.09.1997г.</w:t>
      </w:r>
    </w:p>
    <w:p w:rsidR="00000000" w:rsidRDefault="00C173CC">
      <w:pPr>
        <w:ind w:firstLine="284"/>
        <w:jc w:val="both"/>
      </w:pPr>
      <w:r>
        <w:t>Работы по энергоресурсосбережению основываются на значительном потенциале возможной экономии энергоресурсов и воды.</w:t>
      </w:r>
    </w:p>
    <w:p w:rsidR="00000000" w:rsidRDefault="00C173CC">
      <w:pPr>
        <w:ind w:firstLine="284"/>
        <w:jc w:val="both"/>
      </w:pPr>
      <w:r>
        <w:t>По данным предварительных обследований, проведенных в ряде регионов России, резервы экономии составляют:</w:t>
      </w:r>
    </w:p>
    <w:p w:rsidR="00000000" w:rsidRDefault="00C173CC">
      <w:pPr>
        <w:ind w:firstLine="284"/>
        <w:jc w:val="both"/>
      </w:pPr>
      <w:r>
        <w:t>- по теплу: от</w:t>
      </w:r>
      <w:r>
        <w:t xml:space="preserve"> 25 до 60%;</w:t>
      </w:r>
    </w:p>
    <w:p w:rsidR="00000000" w:rsidRDefault="00C173CC">
      <w:pPr>
        <w:ind w:firstLine="284"/>
        <w:jc w:val="both"/>
      </w:pPr>
      <w:r>
        <w:t>- по воде: от 15 до 30%;</w:t>
      </w:r>
    </w:p>
    <w:p w:rsidR="00000000" w:rsidRDefault="00C173CC">
      <w:pPr>
        <w:ind w:firstLine="284"/>
        <w:jc w:val="both"/>
      </w:pPr>
      <w:r>
        <w:t>- по электроэнергии: от 10 до 25%.</w:t>
      </w:r>
    </w:p>
    <w:p w:rsidR="00000000" w:rsidRDefault="00C173CC">
      <w:pPr>
        <w:ind w:firstLine="284"/>
        <w:jc w:val="both"/>
      </w:pPr>
      <w:r>
        <w:t>В 1998 году экономия от внедрения мероприятий по энергоресурсосбережению в жилищно-коммунальном хозяйстве России составила свыше 800 млн. рублей. В соответствии с региональными программами энергосбережения на 1999 год и последующий период намечено расширение масштабов этих работ и повышение их эффективности.</w:t>
      </w:r>
    </w:p>
    <w:p w:rsidR="00000000" w:rsidRDefault="00C173CC">
      <w:pPr>
        <w:ind w:firstLine="284"/>
        <w:jc w:val="both"/>
      </w:pPr>
      <w:r>
        <w:lastRenderedPageBreak/>
        <w:t xml:space="preserve">Наиболее успешно работы по экономии энергоресурсов и воды проводятся в жилищно-коммунальном хозяйстве Москвы, </w:t>
      </w:r>
      <w:proofErr w:type="spellStart"/>
      <w:r>
        <w:t>С.-Петербурга</w:t>
      </w:r>
      <w:proofErr w:type="spellEnd"/>
      <w:r>
        <w:t>, город</w:t>
      </w:r>
      <w:r>
        <w:t>ах Ленинградской, Владимирской, Тульской, Ярославской области, Краснодарском крае и др. регионах.</w:t>
      </w:r>
    </w:p>
    <w:p w:rsidR="00000000" w:rsidRDefault="00C173CC">
      <w:pPr>
        <w:ind w:firstLine="284"/>
        <w:jc w:val="both"/>
      </w:pPr>
      <w:r>
        <w:t>В настоящих Рекомендациях рассмотрены основный пути проведения, этих работ, основанные на передовом опыте упомянутых регионов и разработках Академии коммунального хозяйства им. К.Д. Памфилова, АО "</w:t>
      </w:r>
      <w:proofErr w:type="spellStart"/>
      <w:r>
        <w:t>Роскоммунэнерго</w:t>
      </w:r>
      <w:proofErr w:type="spellEnd"/>
      <w:r>
        <w:t>" и др.</w:t>
      </w:r>
    </w:p>
    <w:p w:rsidR="00000000" w:rsidRDefault="00C173CC">
      <w:pPr>
        <w:ind w:firstLine="284"/>
        <w:jc w:val="both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ОСНОВНЫЕ НАПРАВЛЕНИЯ РАБОТ</w:t>
      </w: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ЭНЕРГОРЕСУРСОСБЕРЕЖЕНИЮ В </w:t>
      </w:r>
      <w:proofErr w:type="spellStart"/>
      <w:r>
        <w:rPr>
          <w:rFonts w:ascii="Times New Roman" w:hAnsi="Times New Roman"/>
          <w:sz w:val="20"/>
        </w:rPr>
        <w:t>ЖКХ</w:t>
      </w:r>
      <w:proofErr w:type="spellEnd"/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Для целенаправленной работы по экономии энергоресурсов и воды в регионах и городах разрабатываются программы энергоресурсосбереже</w:t>
      </w:r>
      <w:r>
        <w:t>ния, содержащие перечень конкретных мероприятий по внедрению энергосберегающих технологий и устройств.</w:t>
      </w:r>
    </w:p>
    <w:p w:rsidR="00000000" w:rsidRDefault="00C173CC">
      <w:pPr>
        <w:ind w:firstLine="284"/>
        <w:jc w:val="both"/>
      </w:pPr>
      <w:r>
        <w:t>Мероприятия по энергоресурсосбережению разделяются:</w:t>
      </w:r>
    </w:p>
    <w:p w:rsidR="00000000" w:rsidRDefault="00C173CC">
      <w:pPr>
        <w:ind w:firstLine="284"/>
        <w:jc w:val="both"/>
      </w:pPr>
      <w:r>
        <w:t xml:space="preserve">- долгосрочные </w:t>
      </w:r>
      <w:proofErr w:type="spellStart"/>
      <w:r>
        <w:t>высокозатратные</w:t>
      </w:r>
      <w:proofErr w:type="spellEnd"/>
      <w:r>
        <w:t xml:space="preserve"> мероприятия, требующие значительных капитальных затрат со сроком окупаемости более 5 лет;</w:t>
      </w:r>
    </w:p>
    <w:p w:rsidR="00000000" w:rsidRDefault="00C173CC">
      <w:pPr>
        <w:ind w:firstLine="284"/>
        <w:jc w:val="both"/>
      </w:pPr>
      <w:r>
        <w:t xml:space="preserve">- </w:t>
      </w:r>
      <w:proofErr w:type="spellStart"/>
      <w:r>
        <w:t>среднезатратные</w:t>
      </w:r>
      <w:proofErr w:type="spellEnd"/>
      <w:r>
        <w:t xml:space="preserve"> мероприятия со сроком окупаемости от 2-х до 5 лет;</w:t>
      </w:r>
    </w:p>
    <w:p w:rsidR="00000000" w:rsidRDefault="00C173CC">
      <w:pPr>
        <w:ind w:firstLine="284"/>
        <w:jc w:val="both"/>
      </w:pPr>
      <w:r>
        <w:t xml:space="preserve">- первоочередные </w:t>
      </w:r>
      <w:proofErr w:type="spellStart"/>
      <w:r>
        <w:t>малозатратные</w:t>
      </w:r>
      <w:proofErr w:type="spellEnd"/>
      <w:r>
        <w:t xml:space="preserve"> мероприятия со сроком окупаемости до 1 - 2 лет.</w:t>
      </w:r>
    </w:p>
    <w:p w:rsidR="00000000" w:rsidRDefault="00C173CC">
      <w:pPr>
        <w:ind w:firstLine="284"/>
        <w:jc w:val="both"/>
      </w:pPr>
      <w:r>
        <w:t>Стратегия энергоресурсосбережения в жилищно-коммунальном хозяйстве должна состоять из ко</w:t>
      </w:r>
      <w:r>
        <w:t xml:space="preserve">мплекса долгосрочных </w:t>
      </w:r>
      <w:proofErr w:type="spellStart"/>
      <w:r>
        <w:t>высокозатратных</w:t>
      </w:r>
      <w:proofErr w:type="spellEnd"/>
      <w:r>
        <w:t xml:space="preserve">, </w:t>
      </w:r>
      <w:proofErr w:type="spellStart"/>
      <w:r>
        <w:t>среднезатратных</w:t>
      </w:r>
      <w:proofErr w:type="spellEnd"/>
      <w:r>
        <w:t xml:space="preserve"> и первоочередных </w:t>
      </w:r>
      <w:proofErr w:type="spellStart"/>
      <w:r>
        <w:t>малозатратных</w:t>
      </w:r>
      <w:proofErr w:type="spellEnd"/>
      <w:r>
        <w:t xml:space="preserve"> мероприятий.</w:t>
      </w:r>
    </w:p>
    <w:p w:rsidR="00000000" w:rsidRDefault="00C173CC">
      <w:pPr>
        <w:ind w:firstLine="284"/>
        <w:jc w:val="both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Долгосрочные </w:t>
      </w:r>
      <w:proofErr w:type="spellStart"/>
      <w:r>
        <w:rPr>
          <w:rFonts w:ascii="Times New Roman" w:hAnsi="Times New Roman"/>
          <w:sz w:val="20"/>
        </w:rPr>
        <w:t>высокозатратные</w:t>
      </w:r>
      <w:proofErr w:type="spellEnd"/>
      <w:r>
        <w:rPr>
          <w:rFonts w:ascii="Times New Roman" w:hAnsi="Times New Roman"/>
          <w:sz w:val="20"/>
        </w:rPr>
        <w:t xml:space="preserve"> мероприятия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 xml:space="preserve">К долгосрочным </w:t>
      </w:r>
      <w:proofErr w:type="spellStart"/>
      <w:r>
        <w:t>высокозатратным</w:t>
      </w:r>
      <w:proofErr w:type="spellEnd"/>
      <w:r>
        <w:t xml:space="preserve"> мероприятиям относятся:</w:t>
      </w:r>
    </w:p>
    <w:p w:rsidR="00000000" w:rsidRDefault="00C173CC">
      <w:pPr>
        <w:ind w:firstLine="284"/>
        <w:jc w:val="both"/>
      </w:pPr>
      <w:r>
        <w:t xml:space="preserve">1. Строительство новых крупных тепло- и </w:t>
      </w:r>
      <w:proofErr w:type="spellStart"/>
      <w:r>
        <w:t>водоисточников</w:t>
      </w:r>
      <w:proofErr w:type="spellEnd"/>
      <w:r>
        <w:t>.</w:t>
      </w:r>
    </w:p>
    <w:p w:rsidR="00000000" w:rsidRDefault="00C173CC">
      <w:pPr>
        <w:ind w:firstLine="284"/>
        <w:jc w:val="both"/>
      </w:pPr>
      <w:r>
        <w:t>2. Модернизация действующих котельных и насосных станций с установкой высокопроизводительного котельного оборудования и насосных агрегатов.</w:t>
      </w:r>
    </w:p>
    <w:p w:rsidR="00000000" w:rsidRDefault="00C173CC">
      <w:pPr>
        <w:ind w:firstLine="284"/>
        <w:jc w:val="both"/>
      </w:pPr>
      <w:r>
        <w:t xml:space="preserve">3. Использование нетрадиционных источников энергии (тепловые насосы, </w:t>
      </w:r>
      <w:proofErr w:type="spellStart"/>
      <w:r>
        <w:t>биогаз</w:t>
      </w:r>
      <w:proofErr w:type="spellEnd"/>
      <w:r>
        <w:t>, геотермальные воды, солнечная энергия,</w:t>
      </w:r>
      <w:r>
        <w:t xml:space="preserve"> ветровая энергия и т.п.).</w:t>
      </w:r>
    </w:p>
    <w:p w:rsidR="00000000" w:rsidRDefault="00C173CC">
      <w:pPr>
        <w:ind w:firstLine="284"/>
        <w:jc w:val="both"/>
      </w:pPr>
      <w:r>
        <w:t>4. Прокладка новых или капитальный ремонт существующих тепловых магистралей с использованием труб с пенополиуретановой теплоизоляцией, обеспечивающей снижение тепловых потерь в 2 - 3 раза.</w:t>
      </w:r>
    </w:p>
    <w:p w:rsidR="00000000" w:rsidRDefault="00C173CC">
      <w:pPr>
        <w:ind w:firstLine="284"/>
        <w:jc w:val="both"/>
      </w:pPr>
      <w:r>
        <w:t>5. Прокладка новых или капитальный ремонт действующих водопроводных сетей с использованием труб с внутренними покрытиями.</w:t>
      </w:r>
    </w:p>
    <w:p w:rsidR="00000000" w:rsidRDefault="00C173CC">
      <w:pPr>
        <w:ind w:firstLine="284"/>
        <w:jc w:val="both"/>
      </w:pPr>
      <w:r>
        <w:t>6. Утепление наружных стеновых ограждений зданий с использованием жестких плит и гибких матов, замена оконных блоков.</w:t>
      </w:r>
    </w:p>
    <w:p w:rsidR="00000000" w:rsidRDefault="00C173CC">
      <w:pPr>
        <w:ind w:firstLine="284"/>
        <w:jc w:val="both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</w:t>
      </w:r>
      <w:proofErr w:type="spellStart"/>
      <w:r>
        <w:rPr>
          <w:rFonts w:ascii="Times New Roman" w:hAnsi="Times New Roman"/>
          <w:sz w:val="20"/>
        </w:rPr>
        <w:t>Среднезатратные</w:t>
      </w:r>
      <w:proofErr w:type="spellEnd"/>
      <w:r>
        <w:rPr>
          <w:rFonts w:ascii="Times New Roman" w:hAnsi="Times New Roman"/>
          <w:sz w:val="20"/>
        </w:rPr>
        <w:t xml:space="preserve"> мероприятия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 xml:space="preserve">К </w:t>
      </w:r>
      <w:proofErr w:type="spellStart"/>
      <w:r>
        <w:t>среднезатратным</w:t>
      </w:r>
      <w:proofErr w:type="spellEnd"/>
      <w:r>
        <w:t xml:space="preserve"> мер</w:t>
      </w:r>
      <w:r>
        <w:t xml:space="preserve">оприятиям относится строительство модульных котельных с тепловой мощностью от 1 - 3 до 30 </w:t>
      </w:r>
      <w:proofErr w:type="spellStart"/>
      <w:r>
        <w:t>МВт</w:t>
      </w:r>
      <w:proofErr w:type="spellEnd"/>
      <w:r>
        <w:t xml:space="preserve">. Их строительство становится необходимым в условиях острого дефицита тепла в отдельных районах города, например, на концевых участках </w:t>
      </w:r>
      <w:proofErr w:type="spellStart"/>
      <w:r>
        <w:t>тепломагистралей</w:t>
      </w:r>
      <w:proofErr w:type="spellEnd"/>
      <w:r>
        <w:t xml:space="preserve">. При изменении схемы теплоснабжения, необходимо </w:t>
      </w:r>
      <w:proofErr w:type="spellStart"/>
      <w:r>
        <w:t>ТЭО</w:t>
      </w:r>
      <w:proofErr w:type="spellEnd"/>
      <w:r>
        <w:t xml:space="preserve"> такого изменения.</w:t>
      </w:r>
    </w:p>
    <w:p w:rsidR="00000000" w:rsidRDefault="00C173CC">
      <w:pPr>
        <w:ind w:firstLine="284"/>
        <w:jc w:val="both"/>
      </w:pPr>
      <w:r>
        <w:t>Блочные котельные, построенные в последние годы, отличаются высоким КПД котельного оборудования, высокой степенью автоматизации, минимальным количеством обслуживающего персонала.</w:t>
      </w:r>
    </w:p>
    <w:p w:rsidR="00000000" w:rsidRDefault="00C173CC">
      <w:pPr>
        <w:ind w:firstLine="284"/>
        <w:jc w:val="both"/>
      </w:pPr>
      <w:r>
        <w:t xml:space="preserve">Блочные котельные </w:t>
      </w:r>
      <w:r>
        <w:t xml:space="preserve">обеспечивают значительную экономию тепла за счет сокращения протяженности наружных тепловых сетей или отказа от них при применении пристроенных, встроенных и </w:t>
      </w:r>
      <w:proofErr w:type="spellStart"/>
      <w:r>
        <w:t>крышных</w:t>
      </w:r>
      <w:proofErr w:type="spellEnd"/>
      <w:r>
        <w:t xml:space="preserve"> котельных.</w:t>
      </w:r>
    </w:p>
    <w:p w:rsidR="00000000" w:rsidRDefault="00C173CC">
      <w:pPr>
        <w:ind w:firstLine="284"/>
        <w:jc w:val="both"/>
      </w:pPr>
      <w:r>
        <w:t>В блочных котельных необходимо с начала их эксплуатации обеспечить качественную водоподготовку. При этом рекомендуется для умягчения воды использовать обработку воды комплексонами, а для деаэрации - современные методы, обеспечивающие содержание остаточного кислорода на требуемом уровне в отсутствии пара в котельных. При этом рекоменд</w:t>
      </w:r>
      <w:r>
        <w:t xml:space="preserve">уется в блочных котельных организовать с помощью одного деаэратора деаэрацию воды одновременно для систем теплоснабжения и горячего водоснабжения (обязательно с </w:t>
      </w:r>
      <w:proofErr w:type="spellStart"/>
      <w:r>
        <w:t>ТЭО</w:t>
      </w:r>
      <w:proofErr w:type="spellEnd"/>
      <w:r>
        <w:t>).</w:t>
      </w:r>
    </w:p>
    <w:p w:rsidR="00000000" w:rsidRDefault="00C173CC">
      <w:pPr>
        <w:ind w:firstLine="284"/>
        <w:jc w:val="both"/>
      </w:pPr>
      <w:r>
        <w:t xml:space="preserve">К </w:t>
      </w:r>
      <w:proofErr w:type="spellStart"/>
      <w:r>
        <w:t>среднезатратным</w:t>
      </w:r>
      <w:proofErr w:type="spellEnd"/>
      <w:r>
        <w:t xml:space="preserve"> мероприятиям также относятся следующие:</w:t>
      </w:r>
    </w:p>
    <w:p w:rsidR="00000000" w:rsidRDefault="00C173CC">
      <w:pPr>
        <w:ind w:firstLine="284"/>
        <w:jc w:val="both"/>
      </w:pPr>
      <w:r>
        <w:lastRenderedPageBreak/>
        <w:t>1. Повышение экономичности и эффективности работы котельных путем перевода их с дефицитного и дорогостоящего жидкого топлива на газ или местные виды топлива (торф, отходы деревообрабатывающих предприятий и др.).</w:t>
      </w:r>
    </w:p>
    <w:p w:rsidR="00000000" w:rsidRDefault="00C173CC">
      <w:pPr>
        <w:ind w:firstLine="284"/>
        <w:jc w:val="both"/>
      </w:pPr>
      <w:r>
        <w:t>2. Оптимизация процессов горения на котлах, и внедрение оптимальных графико</w:t>
      </w:r>
      <w:r>
        <w:t>в регулирования с использованием средств автоматики и контроля.</w:t>
      </w:r>
    </w:p>
    <w:p w:rsidR="00000000" w:rsidRDefault="00C173CC">
      <w:pPr>
        <w:ind w:firstLine="284"/>
        <w:jc w:val="both"/>
      </w:pPr>
      <w:r>
        <w:t>3. Оптимизация водоподготовки на источниках тепла с использованием современных средств противонакипной и противокоррозионной обработки воды.</w:t>
      </w:r>
    </w:p>
    <w:p w:rsidR="00000000" w:rsidRDefault="00C173CC">
      <w:pPr>
        <w:ind w:firstLine="284"/>
        <w:jc w:val="both"/>
      </w:pPr>
      <w:r>
        <w:t xml:space="preserve">4. Внедрение рациональных схем теплопотребления установок на </w:t>
      </w:r>
      <w:proofErr w:type="spellStart"/>
      <w:r>
        <w:t>ЦТП</w:t>
      </w:r>
      <w:proofErr w:type="spellEnd"/>
      <w:r>
        <w:t xml:space="preserve">, обеспечивающих минимальное потребление сетевой воды. Реконструкция </w:t>
      </w:r>
      <w:proofErr w:type="spellStart"/>
      <w:r>
        <w:t>ЦТП</w:t>
      </w:r>
      <w:proofErr w:type="spellEnd"/>
      <w:r>
        <w:t xml:space="preserve"> с применением </w:t>
      </w:r>
      <w:proofErr w:type="spellStart"/>
      <w:r>
        <w:t>энергоэффективного</w:t>
      </w:r>
      <w:proofErr w:type="spellEnd"/>
      <w:r>
        <w:t xml:space="preserve"> оборудования.</w:t>
      </w:r>
    </w:p>
    <w:p w:rsidR="00000000" w:rsidRDefault="00C173CC">
      <w:pPr>
        <w:ind w:firstLine="284"/>
        <w:jc w:val="both"/>
      </w:pPr>
      <w:r>
        <w:t>5. Замена наиболее изношенных участков тепловых сетей, находящихся в аварийном состоянии, на трубы с заводской теплоизоляци</w:t>
      </w:r>
      <w:r>
        <w:t xml:space="preserve">ей на основе </w:t>
      </w:r>
      <w:proofErr w:type="spellStart"/>
      <w:r>
        <w:t>пенополиуретана</w:t>
      </w:r>
      <w:proofErr w:type="spellEnd"/>
      <w:r>
        <w:t>.</w:t>
      </w:r>
    </w:p>
    <w:p w:rsidR="00000000" w:rsidRDefault="00C173CC">
      <w:pPr>
        <w:ind w:firstLine="284"/>
        <w:jc w:val="both"/>
      </w:pPr>
      <w:r>
        <w:t xml:space="preserve">6. Утепление наружных стеновых панелей эксплуатируемых зданий путем напыления </w:t>
      </w:r>
      <w:proofErr w:type="spellStart"/>
      <w:r>
        <w:t>пенополиуретана</w:t>
      </w:r>
      <w:proofErr w:type="spellEnd"/>
      <w:r>
        <w:t>.</w:t>
      </w:r>
    </w:p>
    <w:p w:rsidR="00000000" w:rsidRDefault="00C173CC">
      <w:pPr>
        <w:ind w:firstLine="284"/>
        <w:jc w:val="both"/>
      </w:pPr>
      <w:r>
        <w:t>7. Уплотнение оконных и дверных проемов.</w:t>
      </w:r>
    </w:p>
    <w:p w:rsidR="00000000" w:rsidRDefault="00C173CC">
      <w:pPr>
        <w:ind w:firstLine="284"/>
        <w:jc w:val="both"/>
      </w:pPr>
      <w:r>
        <w:t xml:space="preserve">8. Устранение </w:t>
      </w:r>
      <w:proofErr w:type="spellStart"/>
      <w:r>
        <w:t>промерзаний</w:t>
      </w:r>
      <w:proofErr w:type="spellEnd"/>
      <w:r>
        <w:t xml:space="preserve"> и утепление стыков, крыш, чердаков, подвалов и лестничных клеток.</w:t>
      </w:r>
    </w:p>
    <w:p w:rsidR="00000000" w:rsidRDefault="00C173CC">
      <w:pPr>
        <w:ind w:firstLine="284"/>
        <w:jc w:val="both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Первоочередные </w:t>
      </w:r>
      <w:proofErr w:type="spellStart"/>
      <w:r>
        <w:rPr>
          <w:rFonts w:ascii="Times New Roman" w:hAnsi="Times New Roman"/>
          <w:sz w:val="20"/>
        </w:rPr>
        <w:t>малозатратные</w:t>
      </w:r>
      <w:proofErr w:type="spellEnd"/>
      <w:r>
        <w:rPr>
          <w:rFonts w:ascii="Times New Roman" w:hAnsi="Times New Roman"/>
          <w:sz w:val="20"/>
        </w:rPr>
        <w:t xml:space="preserve"> мероприятия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 xml:space="preserve">В настоящих Рекомендациях дается описание основных видов первоочередных </w:t>
      </w:r>
      <w:proofErr w:type="spellStart"/>
      <w:r>
        <w:t>малозатратных</w:t>
      </w:r>
      <w:proofErr w:type="spellEnd"/>
      <w:r>
        <w:t xml:space="preserve"> мероприятий по энергоресурсосбережению в </w:t>
      </w:r>
      <w:proofErr w:type="spellStart"/>
      <w:r>
        <w:t>ЖКХ</w:t>
      </w:r>
      <w:proofErr w:type="spellEnd"/>
      <w:r>
        <w:t>.</w:t>
      </w:r>
    </w:p>
    <w:p w:rsidR="00000000" w:rsidRDefault="00C173CC">
      <w:pPr>
        <w:ind w:firstLine="284"/>
        <w:jc w:val="both"/>
      </w:pPr>
      <w:r>
        <w:t>Эти мероприятия включают широкий комплекс работ и характеризуются быстрото</w:t>
      </w:r>
      <w:r>
        <w:t>й внедрения и небольшим сроком окупаемости (до 1 - 2 лет). Они позволяют повысить надежность и эффективность работы источников тепла и тепловых сетей, внутридомовых инженерных систем, автоматизировать системы отопления в зданиях, снизить расходы теплоносителя, горячей и холодной воды при относительно небольших затратах.</w:t>
      </w:r>
    </w:p>
    <w:p w:rsidR="00000000" w:rsidRDefault="00C173CC">
      <w:pPr>
        <w:ind w:firstLine="284"/>
        <w:jc w:val="both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2.3.1. Организационные мероприятия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В основе проведения мероприятий по энергоресурсосбережению должно лежать положение о стимулировании энергоресурсосбережения, сочетающее общую заинтересов</w:t>
      </w:r>
      <w:r>
        <w:t>анность Заказчика и Исполнителей, осуществляющих внедрение соответствующих мероприятий. Стимулирование следует распространять на всех участках процесса теплоснабжения: жителей, муниципальные организации и предприятия, службы теплоснабжения и жилищного хозяйства, органы местного самоуправления.</w:t>
      </w:r>
    </w:p>
    <w:p w:rsidR="00000000" w:rsidRDefault="00C173CC">
      <w:pPr>
        <w:ind w:firstLine="284"/>
        <w:jc w:val="both"/>
      </w:pPr>
      <w:r>
        <w:t xml:space="preserve">Часть средств, сэкономленных в процессе внедрения </w:t>
      </w:r>
      <w:proofErr w:type="spellStart"/>
      <w:r>
        <w:t>энергоресурсосберегающих</w:t>
      </w:r>
      <w:proofErr w:type="spellEnd"/>
      <w:r>
        <w:t xml:space="preserve"> мероприятий должна вкладываться в дальнейшие работы по энергоресурсосбережению. Целесообразно создавать специальные фонды энергоресурсосбереже</w:t>
      </w:r>
      <w:r>
        <w:t>ния. Более детально вопросы финансирования и стимулирования энергоресурсосбережения рассмотрены в разделе 3.</w:t>
      </w:r>
    </w:p>
    <w:p w:rsidR="00000000" w:rsidRDefault="00C173CC">
      <w:pPr>
        <w:ind w:firstLine="284"/>
        <w:jc w:val="both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2.3.2. Повышение надежности и эффективности работы источников тепла</w:t>
      </w:r>
    </w:p>
    <w:p w:rsidR="00000000" w:rsidRDefault="00C173CC">
      <w:pPr>
        <w:ind w:firstLine="284"/>
        <w:jc w:val="center"/>
      </w:pPr>
    </w:p>
    <w:p w:rsidR="00000000" w:rsidRDefault="00C173CC">
      <w:pPr>
        <w:ind w:firstLine="284"/>
        <w:jc w:val="center"/>
      </w:pPr>
      <w:r>
        <w:t>2.3.2.1. Водоподготовка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 xml:space="preserve">Для обеспечения требуемого качества </w:t>
      </w:r>
      <w:proofErr w:type="spellStart"/>
      <w:r>
        <w:t>подпиточной</w:t>
      </w:r>
      <w:proofErr w:type="spellEnd"/>
      <w:r>
        <w:t xml:space="preserve"> и сетевой воды необходимо обеспечить правильное проведение водоподготовки на источниках тепла.</w:t>
      </w:r>
    </w:p>
    <w:p w:rsidR="00000000" w:rsidRDefault="00C173CC">
      <w:pPr>
        <w:ind w:firstLine="284"/>
        <w:jc w:val="both"/>
      </w:pPr>
      <w:r>
        <w:t xml:space="preserve">Для умягчения воды с исходной жесткостью не выше 6 </w:t>
      </w:r>
      <w:proofErr w:type="spellStart"/>
      <w:r>
        <w:t>мг-экв</w:t>
      </w:r>
      <w:proofErr w:type="spellEnd"/>
      <w:r>
        <w:t xml:space="preserve">/л целесообразно применять </w:t>
      </w:r>
      <w:proofErr w:type="spellStart"/>
      <w:r>
        <w:t>комплексонную</w:t>
      </w:r>
      <w:proofErr w:type="spellEnd"/>
      <w:r>
        <w:t xml:space="preserve"> обработку воды.</w:t>
      </w:r>
    </w:p>
    <w:p w:rsidR="00000000" w:rsidRDefault="00C173CC">
      <w:pPr>
        <w:ind w:firstLine="284"/>
        <w:jc w:val="both"/>
      </w:pPr>
      <w:proofErr w:type="spellStart"/>
      <w:r>
        <w:t>Комплексонная</w:t>
      </w:r>
      <w:proofErr w:type="spellEnd"/>
      <w:r>
        <w:t xml:space="preserve"> обработка воды заменяет традиционную </w:t>
      </w:r>
      <w:r>
        <w:t xml:space="preserve">(натрий и </w:t>
      </w:r>
      <w:proofErr w:type="spellStart"/>
      <w:r>
        <w:t>н-катионирование</w:t>
      </w:r>
      <w:proofErr w:type="spellEnd"/>
      <w:r>
        <w:t>).</w:t>
      </w:r>
    </w:p>
    <w:p w:rsidR="00000000" w:rsidRDefault="00C173CC">
      <w:pPr>
        <w:ind w:firstLine="284"/>
        <w:jc w:val="both"/>
      </w:pPr>
      <w:r>
        <w:t>Дозирование комплексона обеспечивает установка, работающая в автоматическом режиме и не нуждающаяся в постоянном обслуживании и контроле. Установка компактна и не требует расхода воды на собственные нужды. Расход комплексона зависит от жесткости воды и обычно не превышает 1 г на 1 м</w:t>
      </w:r>
      <w:r>
        <w:rPr>
          <w:vertAlign w:val="superscript"/>
        </w:rPr>
        <w:t>3</w:t>
      </w:r>
      <w:r>
        <w:t xml:space="preserve"> </w:t>
      </w:r>
      <w:proofErr w:type="spellStart"/>
      <w:r>
        <w:t>подпиточной</w:t>
      </w:r>
      <w:proofErr w:type="spellEnd"/>
      <w:r>
        <w:t xml:space="preserve"> воды.</w:t>
      </w:r>
    </w:p>
    <w:p w:rsidR="00000000" w:rsidRDefault="00C173CC">
      <w:pPr>
        <w:ind w:firstLine="284"/>
        <w:jc w:val="both"/>
      </w:pPr>
      <w:r>
        <w:t xml:space="preserve">Стоимость </w:t>
      </w:r>
      <w:proofErr w:type="spellStart"/>
      <w:r>
        <w:t>комплексонной</w:t>
      </w:r>
      <w:proofErr w:type="spellEnd"/>
      <w:r>
        <w:t xml:space="preserve"> обработки на порядок ниже традиционной. Срок окупаемости установки дозирования 6 - 9 месяцев.</w:t>
      </w:r>
    </w:p>
    <w:p w:rsidR="00000000" w:rsidRDefault="00C173CC">
      <w:pPr>
        <w:ind w:firstLine="284"/>
        <w:jc w:val="both"/>
      </w:pPr>
      <w:r>
        <w:t>Важной частью водоподготовки является деаэрация воды, без кото</w:t>
      </w:r>
      <w:r>
        <w:t>рой невозможно обеспечить отсутствие отложений и свищей в котлах, тепловых сетях и инженерных системах зданий. Однако во многих котельных она либо не проводится, либо проводится не качественно.</w:t>
      </w:r>
    </w:p>
    <w:p w:rsidR="00000000" w:rsidRDefault="00C173CC">
      <w:pPr>
        <w:ind w:firstLine="284"/>
        <w:jc w:val="both"/>
      </w:pPr>
      <w:r>
        <w:t xml:space="preserve">Для качественной деаэрации рекомендуется применять новый тип деаэраторов - щелевые деаэраторы, которые не требуют пара. Они компактны, не нуждаются в обслуживании, исключают </w:t>
      </w:r>
      <w:proofErr w:type="spellStart"/>
      <w:r>
        <w:t>гидроудары</w:t>
      </w:r>
      <w:proofErr w:type="spellEnd"/>
      <w:r>
        <w:t>.</w:t>
      </w:r>
    </w:p>
    <w:p w:rsidR="00000000" w:rsidRDefault="00C173CC">
      <w:pPr>
        <w:ind w:firstLine="284"/>
        <w:jc w:val="both"/>
      </w:pPr>
      <w:r>
        <w:t>Срок окупаемости щелевых деаэраторов зависит от их производительности и составляет не более 1,5 лет.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>2.3.2.2. Защита баков-аккумуля</w:t>
      </w:r>
      <w:r>
        <w:t>торов от аэрации и коррозии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Для исключения аэрации воды, находящейся в баках-аккумуляторах, применяемых в открытых системах теплоснабжения рекомендуется применять "паровую подушку" (при наличии пара в котельной) или герметизирующие жидкости (АГ-4, АГ-4И).</w:t>
      </w:r>
    </w:p>
    <w:p w:rsidR="00000000" w:rsidRDefault="00C173CC">
      <w:pPr>
        <w:ind w:firstLine="284"/>
        <w:jc w:val="both"/>
      </w:pPr>
      <w:r>
        <w:t>Ввиду невысоких защитных свойств существующих в настоящее время лакокрасочных покрытий при температуре до 95°С применять их для защиты от внутренней коррозии баков-аккумуляторов не рекомендуется.</w:t>
      </w:r>
    </w:p>
    <w:p w:rsidR="00000000" w:rsidRDefault="00C173CC">
      <w:pPr>
        <w:ind w:firstLine="284"/>
        <w:jc w:val="both"/>
      </w:pPr>
      <w:r>
        <w:t>С этой целью следует применять электрохимическую катодную з</w:t>
      </w:r>
      <w:r>
        <w:t xml:space="preserve">ащиту внутренней поверхности баков, применяя в качестве анодов малорастворимые токопроводящие </w:t>
      </w:r>
      <w:proofErr w:type="spellStart"/>
      <w:r>
        <w:t>эластомерные</w:t>
      </w:r>
      <w:proofErr w:type="spellEnd"/>
      <w:r>
        <w:t xml:space="preserve"> материалы.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 xml:space="preserve">2.3.2.3. Гидрохимическая промывка и </w:t>
      </w:r>
    </w:p>
    <w:p w:rsidR="00000000" w:rsidRDefault="00C173CC">
      <w:pPr>
        <w:ind w:firstLine="284"/>
        <w:jc w:val="center"/>
      </w:pPr>
      <w:proofErr w:type="spellStart"/>
      <w:r>
        <w:t>электрогидроимпульсная</w:t>
      </w:r>
      <w:proofErr w:type="spellEnd"/>
      <w:r>
        <w:t xml:space="preserve"> прочистка котлов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Наличие отложений на поверхности теплообмена в котлах значительно ухудшают характеристики котельного оборудования. Наличие 1 мм отложений увеличивает расход топлива примерно на 12%. В случае некачественной водоподготовки или ее отсутствии толщина отложений может быть значительно выше.</w:t>
      </w:r>
    </w:p>
    <w:p w:rsidR="00000000" w:rsidRDefault="00C173CC">
      <w:pPr>
        <w:ind w:firstLine="284"/>
        <w:jc w:val="both"/>
      </w:pPr>
      <w:r>
        <w:t xml:space="preserve">Выбор состава композиции для </w:t>
      </w:r>
      <w:r>
        <w:t>растворения отложении проводится в зависимости от их состава, как и в случае водоподогревателей.</w:t>
      </w:r>
    </w:p>
    <w:p w:rsidR="00000000" w:rsidRDefault="00C173CC">
      <w:pPr>
        <w:ind w:firstLine="284"/>
        <w:jc w:val="both"/>
      </w:pPr>
      <w:r>
        <w:t xml:space="preserve">Как показывает практика, для гидрохимической промывки котлов во многих </w:t>
      </w:r>
      <w:proofErr w:type="spellStart"/>
      <w:r>
        <w:t>случаяв</w:t>
      </w:r>
      <w:proofErr w:type="spellEnd"/>
      <w:r>
        <w:t xml:space="preserve"> достаточно эффективной оказывается 5% соляная кислота (срок окупаемости 0,7 года). Но ее следует применять только в присутствии эффективных ингибиторов коррозии. Применение традиционных ингибиторов (например, уротропина, </w:t>
      </w:r>
      <w:proofErr w:type="spellStart"/>
      <w:r>
        <w:t>тиомочевины</w:t>
      </w:r>
      <w:proofErr w:type="spellEnd"/>
      <w:r>
        <w:t>) оказывается малоэффективным при проведении гидрохимической промывки, т.к. при содержании железа в моющ</w:t>
      </w:r>
      <w:r>
        <w:t>ей композиции выше 1 г/л скорость коррозии металла в их присутствии возрастает на 2 порядка.</w:t>
      </w:r>
    </w:p>
    <w:p w:rsidR="00000000" w:rsidRDefault="00C173CC">
      <w:pPr>
        <w:ind w:firstLine="284"/>
        <w:jc w:val="both"/>
      </w:pPr>
      <w:r>
        <w:t xml:space="preserve">Для этих целей пригоден новый ингибитор коррозии, разработанный </w:t>
      </w:r>
      <w:proofErr w:type="spellStart"/>
      <w:r>
        <w:t>АКХ</w:t>
      </w:r>
      <w:proofErr w:type="spellEnd"/>
      <w:r>
        <w:t xml:space="preserve"> и Институтом физической химии РАН. Он в 20 раз снижает скорость коррозии по сравнению с традиционными ингибиторами для соляной кислоты.</w:t>
      </w:r>
    </w:p>
    <w:p w:rsidR="00000000" w:rsidRDefault="00C173CC">
      <w:pPr>
        <w:ind w:firstLine="284"/>
        <w:jc w:val="both"/>
      </w:pPr>
      <w:r>
        <w:t>Для гидрохимической промывки котлов могут использоваться также отходы производства комплексонов, а также смеси органических и минеральных кислот.</w:t>
      </w:r>
    </w:p>
    <w:p w:rsidR="00000000" w:rsidRDefault="00C173CC">
      <w:pPr>
        <w:ind w:firstLine="284"/>
        <w:jc w:val="both"/>
      </w:pPr>
      <w:r>
        <w:t>При наличии в отложениях более 5% кремния метод гидрохимической промы</w:t>
      </w:r>
      <w:r>
        <w:t>вки котлов не пригоден.</w:t>
      </w:r>
    </w:p>
    <w:p w:rsidR="00000000" w:rsidRDefault="00C173CC">
      <w:pPr>
        <w:ind w:firstLine="284"/>
        <w:jc w:val="both"/>
      </w:pPr>
      <w:r>
        <w:t xml:space="preserve">Для удаления таких отложений пригоден метод </w:t>
      </w:r>
      <w:proofErr w:type="spellStart"/>
      <w:r>
        <w:t>электрогидроимпульсной</w:t>
      </w:r>
      <w:proofErr w:type="spellEnd"/>
      <w:r>
        <w:t xml:space="preserve"> прочистки с использованием "</w:t>
      </w:r>
      <w:proofErr w:type="spellStart"/>
      <w:r>
        <w:t>Зевс-технологии</w:t>
      </w:r>
      <w:proofErr w:type="spellEnd"/>
      <w:r>
        <w:t>".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>2.3.2.4. Регулирование производительности насосов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Существенная экономия электроэнергии достигается применением частотно-регулируемого электропривода сетевых насосов отопительной котельной, насосных станций водоснабжения и канализации, домовых подкачивающих насосов, насосов центральных тепловых пунктов и др.</w:t>
      </w:r>
    </w:p>
    <w:p w:rsidR="00000000" w:rsidRDefault="00C173CC">
      <w:pPr>
        <w:ind w:firstLine="284"/>
        <w:jc w:val="both"/>
      </w:pPr>
      <w:r>
        <w:t>Экономия электроэнергии обеспечивается за счет снижения избыточн</w:t>
      </w:r>
      <w:r>
        <w:t>ых напоров на выходе насосных агрегатов, а также повышения их КПД.</w:t>
      </w:r>
    </w:p>
    <w:p w:rsidR="00000000" w:rsidRDefault="00C173CC">
      <w:pPr>
        <w:ind w:firstLine="284"/>
        <w:jc w:val="both"/>
      </w:pPr>
      <w:r>
        <w:t>При использовании аппаратуры преобразователей частоты повышается ресурс технологического оборудования, уменьшается износ коммутационной аппаратуры, повышается надежность защиты от аварийных режимов. Преобразователи частоты позволяют:</w:t>
      </w:r>
    </w:p>
    <w:p w:rsidR="00000000" w:rsidRDefault="00C173CC">
      <w:pPr>
        <w:ind w:firstLine="284"/>
        <w:jc w:val="both"/>
      </w:pPr>
      <w:r>
        <w:t>- уменьшить пусковой ток электродвигателя и обеспечить плавный пуск и остановку насосов;</w:t>
      </w:r>
    </w:p>
    <w:p w:rsidR="00000000" w:rsidRDefault="00C173CC">
      <w:pPr>
        <w:ind w:firstLine="284"/>
        <w:jc w:val="both"/>
      </w:pPr>
      <w:r>
        <w:t>- сократить потребление электроэнергии при уменьшении требуемого напора;</w:t>
      </w:r>
    </w:p>
    <w:p w:rsidR="00000000" w:rsidRDefault="00C173CC">
      <w:pPr>
        <w:ind w:firstLine="284"/>
        <w:jc w:val="both"/>
      </w:pPr>
      <w:r>
        <w:t>- обеспечить защиту насосного агрегата от всех ви</w:t>
      </w:r>
      <w:r>
        <w:t>дов неисправностей;</w:t>
      </w:r>
    </w:p>
    <w:p w:rsidR="00000000" w:rsidRDefault="00C173CC">
      <w:pPr>
        <w:ind w:firstLine="284"/>
        <w:jc w:val="both"/>
      </w:pPr>
      <w:r>
        <w:t>- осуществлять автоматическое повторное включение насоса.</w:t>
      </w:r>
    </w:p>
    <w:p w:rsidR="00000000" w:rsidRDefault="00C173CC">
      <w:pPr>
        <w:ind w:firstLine="284"/>
        <w:jc w:val="both"/>
      </w:pPr>
      <w:r>
        <w:t>Управление аппаратурой частотного регулирования осуществляется встроенным контроллером, который обеспечивает:</w:t>
      </w:r>
    </w:p>
    <w:p w:rsidR="00000000" w:rsidRDefault="00C173CC">
      <w:pPr>
        <w:ind w:firstLine="284"/>
        <w:jc w:val="both"/>
      </w:pPr>
      <w:r>
        <w:t>- поддержание заданного давления при изменениях расхода;</w:t>
      </w:r>
    </w:p>
    <w:p w:rsidR="00000000" w:rsidRDefault="00C173CC">
      <w:pPr>
        <w:ind w:firstLine="284"/>
        <w:jc w:val="both"/>
      </w:pPr>
      <w:r>
        <w:t>- выполнение требуемой последовательности операций пуска и остановки насоса;</w:t>
      </w:r>
    </w:p>
    <w:p w:rsidR="00000000" w:rsidRDefault="00C173CC">
      <w:pPr>
        <w:ind w:firstLine="284"/>
        <w:jc w:val="both"/>
      </w:pPr>
      <w:r>
        <w:t>- технологические блокировки;</w:t>
      </w:r>
    </w:p>
    <w:p w:rsidR="00000000" w:rsidRDefault="00C173CC">
      <w:pPr>
        <w:ind w:firstLine="284"/>
        <w:jc w:val="both"/>
      </w:pPr>
      <w:r>
        <w:t>- идентификацию аварии;</w:t>
      </w:r>
    </w:p>
    <w:p w:rsidR="00000000" w:rsidRDefault="00C173CC">
      <w:pPr>
        <w:ind w:firstLine="284"/>
        <w:jc w:val="both"/>
      </w:pPr>
      <w:r>
        <w:t>- выполнение операций повторного включения или автоматического включения резервного агрегата;</w:t>
      </w:r>
    </w:p>
    <w:p w:rsidR="00000000" w:rsidRDefault="00C173CC">
      <w:pPr>
        <w:ind w:firstLine="284"/>
        <w:jc w:val="both"/>
      </w:pPr>
      <w:r>
        <w:t xml:space="preserve">- сбор и передачу на диспетчерский, пункт </w:t>
      </w:r>
      <w:r>
        <w:t>информации о работе насоса.</w:t>
      </w:r>
    </w:p>
    <w:p w:rsidR="00000000" w:rsidRDefault="00C173CC">
      <w:pPr>
        <w:ind w:firstLine="284"/>
        <w:jc w:val="both"/>
      </w:pPr>
      <w:r>
        <w:t>Аппаратура регулируемого привода оптимизирует работу группы насосных агрегатов (2 - 3 насоса).</w:t>
      </w:r>
    </w:p>
    <w:p w:rsidR="00000000" w:rsidRDefault="00C173CC">
      <w:pPr>
        <w:ind w:firstLine="284"/>
        <w:jc w:val="both"/>
      </w:pPr>
      <w:r>
        <w:t>Наибольшее распространение в России имеет аппаратура частотного регулирования фирм "</w:t>
      </w:r>
      <w:proofErr w:type="spellStart"/>
      <w:r>
        <w:t>АВВ</w:t>
      </w:r>
      <w:proofErr w:type="spellEnd"/>
      <w:r>
        <w:t>", "</w:t>
      </w:r>
      <w:proofErr w:type="spellStart"/>
      <w:r>
        <w:t>Триол</w:t>
      </w:r>
      <w:proofErr w:type="spellEnd"/>
      <w:r>
        <w:t xml:space="preserve">", </w:t>
      </w:r>
      <w:proofErr w:type="spellStart"/>
      <w:r>
        <w:t>ВНИИэлектропривод</w:t>
      </w:r>
      <w:proofErr w:type="spellEnd"/>
      <w:r>
        <w:t xml:space="preserve"> и др.</w:t>
      </w:r>
    </w:p>
    <w:p w:rsidR="00000000" w:rsidRDefault="00C173CC">
      <w:pPr>
        <w:ind w:firstLine="284"/>
        <w:jc w:val="both"/>
      </w:pPr>
      <w:r>
        <w:t>Стоимость аппаратуры частотного регулирования довольно высока (в среднем 120 - 150 долларов на 1 кВт мощности электропривода). Однако экономия электроэнергии при регулировании достигает до 20 - 30%, вследствие чего затраты на эту аппаратуру окупаются, как правило, з</w:t>
      </w:r>
      <w:r>
        <w:t>а срок не более 2-х лет.</w:t>
      </w:r>
    </w:p>
    <w:p w:rsidR="00000000" w:rsidRDefault="00C173CC">
      <w:pPr>
        <w:ind w:firstLine="284"/>
        <w:jc w:val="both"/>
      </w:pPr>
      <w:r>
        <w:t>Учитывая сложность и высокую стоимость аппаратуры внедрение систем частотного регулирования должно осуществляться на основе соответствующего проекта с технико-экономическим обоснованием.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>2.3.2.5. Автоматизация контроля работы теплоисточников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 xml:space="preserve">Важной и обязательной частью работ по энергоресурсосбережению на </w:t>
      </w:r>
      <w:proofErr w:type="spellStart"/>
      <w:r>
        <w:t>теплоисточниках</w:t>
      </w:r>
      <w:proofErr w:type="spellEnd"/>
      <w:r>
        <w:t xml:space="preserve"> является автоматизация контроля за работой оборудования, производством и отпуском тепловой энергии и воды.</w:t>
      </w:r>
    </w:p>
    <w:p w:rsidR="00000000" w:rsidRDefault="00C173CC">
      <w:pPr>
        <w:ind w:firstLine="284"/>
        <w:jc w:val="both"/>
      </w:pPr>
      <w:r>
        <w:t>На выходе котельных должны в обязательном порядке устан</w:t>
      </w:r>
      <w:r>
        <w:t xml:space="preserve">авливаться </w:t>
      </w:r>
      <w:proofErr w:type="spellStart"/>
      <w:r>
        <w:t>теплосчетчики</w:t>
      </w:r>
      <w:proofErr w:type="spellEnd"/>
      <w:r>
        <w:t xml:space="preserve"> для контроля за подачей тепла потребителям, расходомеры для контроля расхода </w:t>
      </w:r>
      <w:proofErr w:type="spellStart"/>
      <w:r>
        <w:t>подпиточной</w:t>
      </w:r>
      <w:proofErr w:type="spellEnd"/>
      <w:r>
        <w:t xml:space="preserve"> воды, датчики давления и другие контрольно-измерительные приборы.</w:t>
      </w:r>
    </w:p>
    <w:p w:rsidR="00000000" w:rsidRDefault="00C173CC">
      <w:pPr>
        <w:ind w:firstLine="284"/>
        <w:jc w:val="both"/>
      </w:pPr>
      <w:r>
        <w:t>В целях обеспечения централизованного контроля за производством и подачей тепла целесообразно подключение котельных к автоматизированной системе диспетчерского контроля и управления теплоснабжением (</w:t>
      </w:r>
      <w:proofErr w:type="spellStart"/>
      <w:r>
        <w:t>АСДКУ</w:t>
      </w:r>
      <w:proofErr w:type="spellEnd"/>
      <w:r>
        <w:t>).</w:t>
      </w:r>
    </w:p>
    <w:p w:rsidR="00000000" w:rsidRDefault="00C173CC">
      <w:pPr>
        <w:ind w:firstLine="284"/>
        <w:jc w:val="both"/>
      </w:pPr>
      <w:r>
        <w:t xml:space="preserve">Краткое описание основных функций </w:t>
      </w:r>
      <w:proofErr w:type="spellStart"/>
      <w:r>
        <w:t>АСДКУ</w:t>
      </w:r>
      <w:proofErr w:type="spellEnd"/>
      <w:r>
        <w:t xml:space="preserve"> приведено  в  разделе 2.3.6.</w:t>
      </w:r>
    </w:p>
    <w:p w:rsidR="00000000" w:rsidRDefault="00C173CC">
      <w:pPr>
        <w:ind w:firstLine="284"/>
        <w:jc w:val="both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2.3.3. Повышение эксплуатационной надежности</w:t>
      </w: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магистраль</w:t>
      </w:r>
      <w:r>
        <w:rPr>
          <w:rFonts w:ascii="Times New Roman" w:hAnsi="Times New Roman"/>
          <w:b w:val="0"/>
          <w:i/>
          <w:sz w:val="20"/>
        </w:rPr>
        <w:t>ных и внутриквартальных тепловых сетей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>2.3.3.1. Определение остаточного ресурса трубопроводов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Как показывает практика многочисленных обследований тепловых сетей, они имеют высокую аварийность, на них происходят значительные тепловые потери, вызванные увлажнением теплоизоляции и утечками горячей воды.</w:t>
      </w:r>
    </w:p>
    <w:p w:rsidR="00000000" w:rsidRDefault="00C173CC">
      <w:pPr>
        <w:ind w:firstLine="284"/>
        <w:jc w:val="both"/>
      </w:pPr>
      <w:r>
        <w:t xml:space="preserve">Это объясняется тем, что, несмотря на весьма жесткие условия эксплуатации теплопроводов как канальной, так и </w:t>
      </w:r>
      <w:proofErr w:type="spellStart"/>
      <w:r>
        <w:t>бесканальной</w:t>
      </w:r>
      <w:proofErr w:type="spellEnd"/>
      <w:r>
        <w:t xml:space="preserve"> прокладки, на них применяются противокоррозионные мастики крайне низкого качества (бит</w:t>
      </w:r>
      <w:r>
        <w:t xml:space="preserve">умный </w:t>
      </w:r>
      <w:proofErr w:type="spellStart"/>
      <w:r>
        <w:t>праймер</w:t>
      </w:r>
      <w:proofErr w:type="spellEnd"/>
      <w:r>
        <w:t>, пентафталевый лак), обладающие недостаточной термостойкостью и быстро стареющие; теплоизоляция, например, при канальной прокладке, в основном, из минеральной ваты, обладает невысокими теплоизоляционными свойствами в случае увлажнения; гидроизоляция, которая должна тормозить проникновение влаги в теплоизоляцию, также невысокого качества.</w:t>
      </w:r>
    </w:p>
    <w:p w:rsidR="00000000" w:rsidRDefault="00C173CC">
      <w:pPr>
        <w:ind w:firstLine="284"/>
        <w:jc w:val="both"/>
      </w:pPr>
      <w:r>
        <w:t>Одним из важных направлений в области экономии тепла и снижения потерь горячей воды на магистральных и внутриквартальных тепловых сетях является своевременное</w:t>
      </w:r>
      <w:r>
        <w:t xml:space="preserve"> определение остаточного ресурса отдельных участков теплопровода.</w:t>
      </w:r>
    </w:p>
    <w:p w:rsidR="00000000" w:rsidRDefault="00C173CC">
      <w:pPr>
        <w:ind w:firstLine="284"/>
        <w:jc w:val="both"/>
      </w:pPr>
      <w:r>
        <w:t xml:space="preserve">Для определения остаточного ресурса трубопроводов тепловых сетей </w:t>
      </w:r>
      <w:proofErr w:type="spellStart"/>
      <w:r>
        <w:t>бесканальной</w:t>
      </w:r>
      <w:proofErr w:type="spellEnd"/>
      <w:r>
        <w:t xml:space="preserve"> и канальной прокладки жилищно-коммунальной академией разработана компьютерная программа "Ресурс-2". Остаточный ресурс по этой программе определяется как время до наступления </w:t>
      </w:r>
      <w:proofErr w:type="spellStart"/>
      <w:r>
        <w:t>предаварийного</w:t>
      </w:r>
      <w:proofErr w:type="spellEnd"/>
      <w:r>
        <w:t xml:space="preserve"> состояния, </w:t>
      </w:r>
      <w:proofErr w:type="spellStart"/>
      <w:r>
        <w:t>предразрушения</w:t>
      </w:r>
      <w:proofErr w:type="spellEnd"/>
      <w:r>
        <w:t xml:space="preserve">, т.е. такого состояния, когда имеется большая вероятность образования свищей и </w:t>
      </w:r>
      <w:proofErr w:type="spellStart"/>
      <w:r>
        <w:t>трещиноподобных</w:t>
      </w:r>
      <w:proofErr w:type="spellEnd"/>
      <w:r>
        <w:t xml:space="preserve"> дефектов, приводящих к авариям.</w:t>
      </w:r>
    </w:p>
    <w:p w:rsidR="00000000" w:rsidRDefault="00C173CC">
      <w:pPr>
        <w:ind w:firstLine="284"/>
        <w:jc w:val="both"/>
      </w:pPr>
      <w:r>
        <w:t>Определение остаточного ре</w:t>
      </w:r>
      <w:r>
        <w:t>сурса отдельных участков теплопроводов с использованием компьютерной программы "Ресурс-2" необходимо прежде всего для тех участков, где аварийность превышает 0,3 на 1 км, а также тех, где наблюдается устойчивое повышение уровня грунтовых вод. Каждый подобный участок магистрального и внутриквартального теплопровода должен иметь паспорт (сертификат), который определяет гарантированный остаточный ресурс, обеспечивающий безаварийную работу. Контроль гарантированного остаточного ресурса должен проводиться не реж</w:t>
      </w:r>
      <w:r>
        <w:t>е 1 раза в 3 года.</w:t>
      </w:r>
    </w:p>
    <w:p w:rsidR="00000000" w:rsidRDefault="00C173CC">
      <w:pPr>
        <w:ind w:firstLine="284"/>
        <w:jc w:val="both"/>
      </w:pPr>
      <w:r>
        <w:t xml:space="preserve">Для уточнения необходимости замены труб целесообразно одновременно с программой "Ресурс-2" использовать предложенную </w:t>
      </w:r>
      <w:proofErr w:type="spellStart"/>
      <w:r>
        <w:t>НКП</w:t>
      </w:r>
      <w:proofErr w:type="spellEnd"/>
      <w:r>
        <w:t xml:space="preserve"> "Вектор" методику регистрации и обработки акустических сигналов от мест с уменьшенной толщиной стенок труб.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>2.3.3.2. Применение катодной защиты и противокоррозионного покрытия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 xml:space="preserve">Для проведения ремонтных работ на тепловых сетях и более полного использования остаточного ресурса рекомендуется наносить </w:t>
      </w:r>
      <w:proofErr w:type="spellStart"/>
      <w:r>
        <w:t>каучуко-битумную</w:t>
      </w:r>
      <w:proofErr w:type="spellEnd"/>
      <w:r>
        <w:t xml:space="preserve"> мастику и (или) оборудовать теплопроводы катодной защит</w:t>
      </w:r>
      <w:r>
        <w:t>ой с использованием протяженных гибких анодов (</w:t>
      </w:r>
      <w:proofErr w:type="spellStart"/>
      <w:r>
        <w:t>ПГА</w:t>
      </w:r>
      <w:proofErr w:type="spellEnd"/>
      <w:r>
        <w:t>).</w:t>
      </w:r>
    </w:p>
    <w:p w:rsidR="00000000" w:rsidRDefault="00C173CC">
      <w:pPr>
        <w:ind w:firstLine="284"/>
        <w:jc w:val="both"/>
      </w:pPr>
      <w:proofErr w:type="spellStart"/>
      <w:r>
        <w:t>Каучуко-битумная</w:t>
      </w:r>
      <w:proofErr w:type="spellEnd"/>
      <w:r>
        <w:t xml:space="preserve"> мастика рекомендуется как </w:t>
      </w:r>
      <w:proofErr w:type="spellStart"/>
      <w:r>
        <w:t>противокоррозийное</w:t>
      </w:r>
      <w:proofErr w:type="spellEnd"/>
      <w:r>
        <w:t xml:space="preserve"> покрытие для тепловых сетей диаметром 57 - 800 мм.</w:t>
      </w:r>
    </w:p>
    <w:p w:rsidR="00000000" w:rsidRDefault="00C173CC">
      <w:pPr>
        <w:ind w:firstLine="284"/>
        <w:jc w:val="both"/>
      </w:pPr>
      <w:r>
        <w:t xml:space="preserve">Основой мастики является </w:t>
      </w:r>
      <w:proofErr w:type="spellStart"/>
      <w:r>
        <w:t>каучуко-битумная</w:t>
      </w:r>
      <w:proofErr w:type="spellEnd"/>
      <w:r>
        <w:t xml:space="preserve"> композиция с добавками ингибиторов коррозии и специальных присадок, обеспечивающих стабильность физико-химических свойств покрытия в течение длительного времени в жестких температурно-влажностных условиях, характерных для эксплуатации тепловых сетей.</w:t>
      </w:r>
    </w:p>
    <w:p w:rsidR="00000000" w:rsidRDefault="00C173CC">
      <w:pPr>
        <w:ind w:firstLine="284"/>
        <w:jc w:val="both"/>
      </w:pPr>
      <w:r>
        <w:t>Срок службы мастичного покрытия не менее 20 лет.</w:t>
      </w:r>
    </w:p>
    <w:p w:rsidR="00000000" w:rsidRDefault="00C173CC">
      <w:pPr>
        <w:ind w:firstLine="284"/>
        <w:jc w:val="both"/>
      </w:pPr>
      <w:r>
        <w:t>Като</w:t>
      </w:r>
      <w:r>
        <w:t xml:space="preserve">дная защита с использованием </w:t>
      </w:r>
      <w:proofErr w:type="spellStart"/>
      <w:r>
        <w:t>ПГА</w:t>
      </w:r>
      <w:proofErr w:type="spellEnd"/>
      <w:r>
        <w:t xml:space="preserve"> может применяться как совместно с нанесением </w:t>
      </w:r>
      <w:proofErr w:type="spellStart"/>
      <w:r>
        <w:t>противокоррозийного</w:t>
      </w:r>
      <w:proofErr w:type="spellEnd"/>
      <w:r>
        <w:t xml:space="preserve"> покрытия, так и без него (например, в случае затруднений, связанных с его нанесением в непроходных каналах).</w:t>
      </w:r>
    </w:p>
    <w:p w:rsidR="00000000" w:rsidRDefault="00C173CC">
      <w:pPr>
        <w:ind w:firstLine="284"/>
        <w:jc w:val="both"/>
      </w:pPr>
      <w:r>
        <w:t>Ранее, когда для катодной защиты применяли только локальные, сосредоточенные аноды, использовать ее при канальной прокладке теплопроводов было невозможно.</w:t>
      </w:r>
    </w:p>
    <w:p w:rsidR="00000000" w:rsidRDefault="00C173CC">
      <w:pPr>
        <w:ind w:firstLine="284"/>
        <w:jc w:val="both"/>
      </w:pPr>
      <w:r>
        <w:t xml:space="preserve">Протяженные </w:t>
      </w:r>
      <w:proofErr w:type="spellStart"/>
      <w:r>
        <w:t>эластомерные</w:t>
      </w:r>
      <w:proofErr w:type="spellEnd"/>
      <w:r>
        <w:t xml:space="preserve"> гибкие аноды рекомендуется прокладывать вдоль защищаемого трубопровода (трубопроводов), параллельно ему (им).</w:t>
      </w:r>
    </w:p>
    <w:p w:rsidR="00000000" w:rsidRDefault="00C173CC">
      <w:pPr>
        <w:ind w:firstLine="284"/>
        <w:jc w:val="both"/>
      </w:pPr>
      <w:r>
        <w:t xml:space="preserve">Использование </w:t>
      </w:r>
      <w:proofErr w:type="spellStart"/>
      <w:r>
        <w:t>П</w:t>
      </w:r>
      <w:r>
        <w:t>ГА</w:t>
      </w:r>
      <w:proofErr w:type="spellEnd"/>
      <w:r>
        <w:t xml:space="preserve"> для защиты от наружной коррозии теплопроводов позволяет обеспечить равномерное </w:t>
      </w:r>
      <w:proofErr w:type="spellStart"/>
      <w:r>
        <w:t>натекание</w:t>
      </w:r>
      <w:proofErr w:type="spellEnd"/>
      <w:r>
        <w:t xml:space="preserve"> тока и распределение потенциала по длине защищаемого участка теплопровода, снижение потребления электроэнергии на единицу защищаемой поверхности трубопровода и возможность использования катодных станций небольшой мощности.</w:t>
      </w:r>
    </w:p>
    <w:p w:rsidR="00000000" w:rsidRDefault="00C173CC">
      <w:pPr>
        <w:ind w:firstLine="284"/>
        <w:jc w:val="both"/>
      </w:pPr>
      <w:r>
        <w:t xml:space="preserve">В настоящее время в России выпускают пригодные для защиты теплопроводов </w:t>
      </w:r>
      <w:proofErr w:type="spellStart"/>
      <w:r>
        <w:t>ПГА</w:t>
      </w:r>
      <w:proofErr w:type="spellEnd"/>
      <w:r>
        <w:t xml:space="preserve"> типа ЭР-2 (диаметром 25 мм) и ЭР-6 (диаметром 35 мм).</w:t>
      </w:r>
    </w:p>
    <w:p w:rsidR="00000000" w:rsidRDefault="00C173CC">
      <w:pPr>
        <w:ind w:firstLine="284"/>
        <w:jc w:val="both"/>
      </w:pPr>
      <w:r>
        <w:t>Срок окупаемости до 2 лет.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>2.3.3.3. Оптимизация режимов функционир</w:t>
      </w:r>
      <w:r>
        <w:t>ования тепловых сетей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Задача организации оптимальных гидравлических и тепловых режимов функционирования тепловых сетей систем централизованного теплоснабжения является одной из важнейших задач обеспечения эффективности каждой из систем теплопотребления и систем теплоснабжения в целом. Это сложная задача, т.к. приходится иметь дело с замкнутой гидравлической системой, каковой являются тепловые сети с присоединенными многочисленными системами теплопотребления.</w:t>
      </w:r>
    </w:p>
    <w:p w:rsidR="00000000" w:rsidRDefault="00C173CC">
      <w:pPr>
        <w:ind w:firstLine="284"/>
        <w:jc w:val="both"/>
      </w:pPr>
      <w:r>
        <w:t>Тепловые сети, из-за их низкой гидравлической ус</w:t>
      </w:r>
      <w:r>
        <w:t xml:space="preserve">тойчивости, подвержены </w:t>
      </w:r>
      <w:proofErr w:type="spellStart"/>
      <w:r>
        <w:t>разрегулировке</w:t>
      </w:r>
      <w:proofErr w:type="spellEnd"/>
      <w:r>
        <w:t xml:space="preserve"> при различных изменениях их системы, нагрузки и т.д. Однако, путем правильной наладки возможно существенно повысить гидравлическую устойчивость систем теплоснабжения.</w:t>
      </w:r>
    </w:p>
    <w:p w:rsidR="00000000" w:rsidRDefault="00C173CC">
      <w:pPr>
        <w:ind w:firstLine="284"/>
        <w:jc w:val="both"/>
      </w:pPr>
      <w:r>
        <w:t xml:space="preserve">Для повышения гидравлической устойчивости тепловых сетей с присоединенными системами теплопотребления следует избыточную часть располагаемого напора </w:t>
      </w:r>
      <w:proofErr w:type="spellStart"/>
      <w:r>
        <w:t>дросселировать</w:t>
      </w:r>
      <w:proofErr w:type="spellEnd"/>
      <w:r>
        <w:t xml:space="preserve"> в гидравлических сопротивлениях постоянного или переменного сечения, устанавливаемых на тепловых пунктах каждого потребителя. Иными словами, на</w:t>
      </w:r>
      <w:r>
        <w:t xml:space="preserve">ладка тепловых сетей базируется на всемерном повышении их гидравлической устойчивости путем повсеместной расстановки специально рассчитанных </w:t>
      </w:r>
      <w:proofErr w:type="spellStart"/>
      <w:r>
        <w:t>дросселирующих</w:t>
      </w:r>
      <w:proofErr w:type="spellEnd"/>
      <w:r>
        <w:t xml:space="preserve"> устройств.</w:t>
      </w:r>
    </w:p>
    <w:p w:rsidR="00000000" w:rsidRDefault="00C173CC">
      <w:pPr>
        <w:ind w:firstLine="284"/>
        <w:jc w:val="both"/>
      </w:pPr>
      <w:r>
        <w:t xml:space="preserve">Каждая система теплопотребления должна быть поставлена в условия, одинаковые по сравнению с остальными системами, т.е. должна стать </w:t>
      </w:r>
      <w:proofErr w:type="spellStart"/>
      <w:r>
        <w:t>гидравлически</w:t>
      </w:r>
      <w:proofErr w:type="spellEnd"/>
      <w:r>
        <w:t xml:space="preserve"> равноудаленной от источника теплоснабжения.</w:t>
      </w:r>
    </w:p>
    <w:p w:rsidR="00000000" w:rsidRDefault="00C173CC">
      <w:pPr>
        <w:ind w:firstLine="284"/>
        <w:jc w:val="both"/>
      </w:pPr>
      <w:r>
        <w:t>Таким образом, сущность наладки тепловых сетей систем централизованного теплоснабжения заключается в резком повышении гидравлической устойчивости систем те</w:t>
      </w:r>
      <w:r>
        <w:t>плоснабжения путем повышения гидравлического сопротивления систем теплопотребления относительно гидравлического сопротивления тепловых сетей.</w:t>
      </w:r>
    </w:p>
    <w:p w:rsidR="00000000" w:rsidRDefault="00C173CC">
      <w:pPr>
        <w:ind w:firstLine="284"/>
        <w:jc w:val="both"/>
      </w:pPr>
      <w:r>
        <w:t>Задачей наладки тепловых сетей является достижение расчетных гидравлических и тепловых режимов их функционирования и создание условий для нормального функционирования систем теплопотребления. Из вышеизложенного следует, что наладке должны подвергаться все звенья систем теплоснабжения.</w:t>
      </w:r>
    </w:p>
    <w:p w:rsidR="00000000" w:rsidRDefault="00C173CC">
      <w:pPr>
        <w:ind w:firstLine="284"/>
        <w:jc w:val="both"/>
      </w:pPr>
      <w:r>
        <w:t>Регулировать системы теплоснабжения можно только после выполнения разработанных нала</w:t>
      </w:r>
      <w:r>
        <w:t xml:space="preserve">дочных мероприятий, обеспечивающих осуществление оптимальных гидравлических и тепловых режимов функционирования тепловых сетей, разработанных на </w:t>
      </w:r>
      <w:proofErr w:type="spellStart"/>
      <w:r>
        <w:t>I</w:t>
      </w:r>
      <w:proofErr w:type="spellEnd"/>
      <w:r>
        <w:t xml:space="preserve"> этапе наладочных работ.</w:t>
      </w:r>
    </w:p>
    <w:p w:rsidR="00000000" w:rsidRDefault="00C173CC">
      <w:pPr>
        <w:ind w:firstLine="284"/>
        <w:jc w:val="both"/>
      </w:pPr>
      <w:r>
        <w:t xml:space="preserve">Регулирование тепловых сетей сводится к проверке соответствия установившихся значений расхода теплоносителя его расчетным значениям. </w:t>
      </w:r>
    </w:p>
    <w:p w:rsidR="00000000" w:rsidRDefault="00C173CC">
      <w:pPr>
        <w:ind w:firstLine="284"/>
        <w:jc w:val="both"/>
      </w:pPr>
      <w:r>
        <w:t>Наладку целесообразно производить по апробированным методикам, многолетний опыт применения которых имеется, например, в РАО "</w:t>
      </w:r>
      <w:proofErr w:type="spellStart"/>
      <w:r>
        <w:t>Роскоммунэнерго</w:t>
      </w:r>
      <w:proofErr w:type="spellEnd"/>
      <w:r>
        <w:t>".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>2.3.3.4. Контроль за работой тепловой сети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В целях повышения о</w:t>
      </w:r>
      <w:r>
        <w:t xml:space="preserve">перативности контроля за транспортировкой теплоносителя от источников к потребителям целесообразно организовать систему дистанционного диспетчерского контроля основных параметров (расхода, давления, температуры) теплоносителя в ряде камер на </w:t>
      </w:r>
      <w:proofErr w:type="spellStart"/>
      <w:r>
        <w:t>тепломагистралях</w:t>
      </w:r>
      <w:proofErr w:type="spellEnd"/>
      <w:r>
        <w:t>.</w:t>
      </w:r>
    </w:p>
    <w:p w:rsidR="00000000" w:rsidRDefault="00C173CC">
      <w:pPr>
        <w:ind w:firstLine="284"/>
        <w:jc w:val="both"/>
      </w:pPr>
      <w:r>
        <w:t>Для этого в камерах должны устанавливаться датчики расхода, давления и температуры, а также аппаратура передачи этих данных по линиям связи на центральный диспетчерский пункт системы теплоснабжения города. Создание автоматизированной системы диспетчерс</w:t>
      </w:r>
      <w:r>
        <w:t>кого контроля и управления (</w:t>
      </w:r>
      <w:proofErr w:type="spellStart"/>
      <w:r>
        <w:t>АСДКУ</w:t>
      </w:r>
      <w:proofErr w:type="spellEnd"/>
      <w:r>
        <w:t xml:space="preserve">), как показывает опыт, позволяет значительно повысить оперативность контроля, сократить число аварий и продолжительность их устранения, улучшить </w:t>
      </w:r>
      <w:proofErr w:type="spellStart"/>
      <w:r>
        <w:t>теплообеспеченность</w:t>
      </w:r>
      <w:proofErr w:type="spellEnd"/>
      <w:r>
        <w:t xml:space="preserve"> потребителей.</w:t>
      </w:r>
    </w:p>
    <w:p w:rsidR="00000000" w:rsidRDefault="00C173CC">
      <w:pPr>
        <w:ind w:firstLine="284"/>
        <w:jc w:val="both"/>
      </w:pPr>
      <w:r>
        <w:t xml:space="preserve">Краткое описание </w:t>
      </w:r>
      <w:proofErr w:type="spellStart"/>
      <w:r>
        <w:t>АСДКУ</w:t>
      </w:r>
      <w:proofErr w:type="spellEnd"/>
      <w:r>
        <w:t xml:space="preserve"> приведено в разделе 2.3.6.</w:t>
      </w:r>
    </w:p>
    <w:p w:rsidR="00000000" w:rsidRDefault="00C173CC">
      <w:pPr>
        <w:ind w:firstLine="284"/>
        <w:jc w:val="both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2.3.4. Экономия энергоресурсов и воды у потребителей</w:t>
      </w:r>
    </w:p>
    <w:p w:rsidR="00000000" w:rsidRDefault="00C173CC">
      <w:pPr>
        <w:ind w:firstLine="284"/>
        <w:jc w:val="center"/>
      </w:pPr>
    </w:p>
    <w:p w:rsidR="00000000" w:rsidRDefault="00C173CC">
      <w:pPr>
        <w:ind w:firstLine="284"/>
        <w:jc w:val="center"/>
      </w:pPr>
      <w:r>
        <w:t>2.3.4.1. Гидрохимическая промывка систем отопления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 xml:space="preserve">Наличие отложении в стояках, подводках к отопительным приборам и в самих отопительных приборах систем отопления приводит к внеплановой замене </w:t>
      </w:r>
      <w:r>
        <w:t xml:space="preserve">труб, снижению температуры в помещениях, а также к необходимости проведения капитального ремонта. При этом во многих случаях пропускная способность труб снижается на 60 - 90%, тогда как величина коррозионного износа не превышает 10 - 20%. Возможность удаления отложений позволяет и далее эксплуатировать систему отопления в течение длительного времени. </w:t>
      </w:r>
    </w:p>
    <w:p w:rsidR="00000000" w:rsidRDefault="00C173CC">
      <w:pPr>
        <w:ind w:firstLine="284"/>
        <w:jc w:val="both"/>
      </w:pPr>
      <w:r>
        <w:t>Для удалений отложений, состоящих преимущественно из оксидов железа, рекомендуется использовать гидрохимическую промывку систем отопления, являющуюся во многи</w:t>
      </w:r>
      <w:r>
        <w:t>х случаях альтернативой капитальному ремонту. Срок окупаемости 1,2 года.</w:t>
      </w:r>
    </w:p>
    <w:p w:rsidR="00000000" w:rsidRDefault="00C173CC">
      <w:pPr>
        <w:ind w:firstLine="284"/>
        <w:jc w:val="both"/>
      </w:pPr>
      <w:r>
        <w:t xml:space="preserve">В качестве основы композиции следует использовать комплексон, который позволяет перевести в растворенное состояние до 20 - 24 кг </w:t>
      </w:r>
      <w:proofErr w:type="spellStart"/>
      <w:r>
        <w:t>гидроксидов</w:t>
      </w:r>
      <w:proofErr w:type="spellEnd"/>
      <w:r>
        <w:t xml:space="preserve"> железа на 1 м</w:t>
      </w:r>
      <w:r>
        <w:rPr>
          <w:vertAlign w:val="superscript"/>
        </w:rPr>
        <w:t>3</w:t>
      </w:r>
      <w:r>
        <w:t xml:space="preserve"> раствора, т.е. по </w:t>
      </w:r>
      <w:proofErr w:type="spellStart"/>
      <w:r>
        <w:t>железоемкости</w:t>
      </w:r>
      <w:proofErr w:type="spellEnd"/>
      <w:r>
        <w:t xml:space="preserve"> он значительно превосходит большинство органических и неорганических кислот.</w:t>
      </w:r>
    </w:p>
    <w:p w:rsidR="00000000" w:rsidRDefault="00C173CC">
      <w:pPr>
        <w:ind w:firstLine="284"/>
        <w:jc w:val="both"/>
      </w:pPr>
      <w:r>
        <w:t xml:space="preserve">Для практического полного исключения коррозионного разрушения систем отопления в процессе промывки следует применять многокомпонентную </w:t>
      </w:r>
      <w:proofErr w:type="spellStart"/>
      <w:r>
        <w:t>ингибирующую</w:t>
      </w:r>
      <w:proofErr w:type="spellEnd"/>
      <w:r>
        <w:t xml:space="preserve"> добавку.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 xml:space="preserve">2.3.4.2. </w:t>
      </w:r>
      <w:proofErr w:type="spellStart"/>
      <w:r>
        <w:t>Эле</w:t>
      </w:r>
      <w:r>
        <w:t>ктрогидроимпульсная</w:t>
      </w:r>
      <w:proofErr w:type="spellEnd"/>
      <w:r>
        <w:t xml:space="preserve"> прочистка, внутридомовых систем </w:t>
      </w:r>
    </w:p>
    <w:p w:rsidR="00000000" w:rsidRDefault="00C173CC">
      <w:pPr>
        <w:ind w:firstLine="284"/>
        <w:jc w:val="center"/>
      </w:pPr>
      <w:r>
        <w:t>горячего и холодного водоснабжения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 xml:space="preserve">Метод </w:t>
      </w:r>
      <w:proofErr w:type="spellStart"/>
      <w:r>
        <w:t>электрогидроимпульсной</w:t>
      </w:r>
      <w:proofErr w:type="spellEnd"/>
      <w:r>
        <w:t xml:space="preserve"> очистки трубопроводов от отложений (срок окупаемости 1 год) основан на использовании "</w:t>
      </w:r>
      <w:proofErr w:type="spellStart"/>
      <w:r>
        <w:t>Зевс-технологии</w:t>
      </w:r>
      <w:proofErr w:type="spellEnd"/>
      <w:r>
        <w:t>", которая также во многих случаях является альтернативой капитальному ремонту. Этот метод основан на использовании энергии высоковольтного электрического разряда в воде.</w:t>
      </w:r>
    </w:p>
    <w:p w:rsidR="00000000" w:rsidRDefault="00C173CC">
      <w:pPr>
        <w:ind w:firstLine="284"/>
        <w:jc w:val="both"/>
      </w:pPr>
      <w:proofErr w:type="spellStart"/>
      <w:r>
        <w:t>Электрогидроимпульсный</w:t>
      </w:r>
      <w:proofErr w:type="spellEnd"/>
      <w:r>
        <w:t xml:space="preserve"> метод очистки стояков и горизонтальных линий систем горячего и холодного водоснабжения обеспечивает</w:t>
      </w:r>
      <w:r>
        <w:t xml:space="preserve"> высокое качество очистки, не приводит к дополнительному износу труб, требует небольшого количества энергии, экологически чист.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 xml:space="preserve">2.3.4.3. </w:t>
      </w:r>
      <w:proofErr w:type="spellStart"/>
      <w:r>
        <w:t>Электрогидроимпульсная</w:t>
      </w:r>
      <w:proofErr w:type="spellEnd"/>
      <w:r>
        <w:t xml:space="preserve"> прочистка радиаторов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В процессе длительной эксплуатации систем отопления с чугунными радиаторами в последних накапливаются грязевые, илистые отложения, которые не растворяются в органических и минеральных кислотах.</w:t>
      </w:r>
    </w:p>
    <w:p w:rsidR="00000000" w:rsidRDefault="00C173CC">
      <w:pPr>
        <w:ind w:firstLine="284"/>
        <w:jc w:val="both"/>
      </w:pPr>
      <w:r>
        <w:t xml:space="preserve">Для удаления илистых, грязевых отложений из чугунных радиаторов рекомендуется применить метод </w:t>
      </w:r>
      <w:proofErr w:type="spellStart"/>
      <w:r>
        <w:t>электрогидроимпульсной</w:t>
      </w:r>
      <w:proofErr w:type="spellEnd"/>
      <w:r>
        <w:t xml:space="preserve"> прочистки с исполь</w:t>
      </w:r>
      <w:r>
        <w:t>зованием "</w:t>
      </w:r>
      <w:proofErr w:type="spellStart"/>
      <w:r>
        <w:t>Зевс-технологии</w:t>
      </w:r>
      <w:proofErr w:type="spellEnd"/>
      <w:r>
        <w:t>" (срок окупаемости 1 год).</w:t>
      </w:r>
    </w:p>
    <w:p w:rsidR="00000000" w:rsidRDefault="00C173CC">
      <w:pPr>
        <w:ind w:firstLine="284"/>
        <w:jc w:val="both"/>
      </w:pPr>
      <w:proofErr w:type="spellStart"/>
      <w:r>
        <w:t>Электрогидроимпульсная</w:t>
      </w:r>
      <w:proofErr w:type="spellEnd"/>
      <w:r>
        <w:t xml:space="preserve"> прочистка радиаторов является альтернативой их замене.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 xml:space="preserve">2.3.4.4. Гидрохимическая промывка и </w:t>
      </w:r>
      <w:proofErr w:type="spellStart"/>
      <w:r>
        <w:t>электрогидроимпульсная</w:t>
      </w:r>
      <w:proofErr w:type="spellEnd"/>
      <w:r>
        <w:t xml:space="preserve"> </w:t>
      </w:r>
    </w:p>
    <w:p w:rsidR="00000000" w:rsidRDefault="00C173CC">
      <w:pPr>
        <w:ind w:firstLine="284"/>
        <w:jc w:val="center"/>
      </w:pPr>
      <w:r>
        <w:t xml:space="preserve">прочистка </w:t>
      </w:r>
      <w:proofErr w:type="spellStart"/>
      <w:r>
        <w:t>водоводяных</w:t>
      </w:r>
      <w:proofErr w:type="spellEnd"/>
      <w:r>
        <w:t xml:space="preserve"> подогревателей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 xml:space="preserve">В трубах водо-водяных водонагревателей образуются отложения, которые могут уменьшать их пропускную способность на 80 - 90%. Состав их зависит от состава подогреваемой воды. При использовании воды с жесткостью выше 4 </w:t>
      </w:r>
      <w:proofErr w:type="spellStart"/>
      <w:r>
        <w:t>мг-экв</w:t>
      </w:r>
      <w:proofErr w:type="spellEnd"/>
      <w:r>
        <w:t>/л образуются в основном карбонатные отложения. Если вода об</w:t>
      </w:r>
      <w:r>
        <w:t xml:space="preserve">ладает высокой коррозионной активностью, то в отложениях имеются также </w:t>
      </w:r>
      <w:proofErr w:type="spellStart"/>
      <w:r>
        <w:t>железооксиды</w:t>
      </w:r>
      <w:proofErr w:type="spellEnd"/>
      <w:r>
        <w:t>.</w:t>
      </w:r>
    </w:p>
    <w:p w:rsidR="00000000" w:rsidRDefault="00C173CC">
      <w:pPr>
        <w:ind w:firstLine="284"/>
        <w:jc w:val="both"/>
      </w:pPr>
      <w:r>
        <w:t>Состав композиции для гидрохимической промывки подогревателей зависит от состава отложений (срок окупаемости от 6 месяцев до 1 года).</w:t>
      </w:r>
    </w:p>
    <w:p w:rsidR="00000000" w:rsidRDefault="00C173CC">
      <w:pPr>
        <w:ind w:firstLine="284"/>
        <w:jc w:val="both"/>
      </w:pPr>
      <w:r>
        <w:t xml:space="preserve">Для удаления отложений из трубок водо-водяных подогревателей рекомендуется применять также описанный выше </w:t>
      </w:r>
      <w:proofErr w:type="spellStart"/>
      <w:r>
        <w:t>электрогидроимпульсный</w:t>
      </w:r>
      <w:proofErr w:type="spellEnd"/>
      <w:r>
        <w:t xml:space="preserve"> метод. Он применим независимо от состава отложений, однако его можно применять только, если пропускная способность трубы уменьшена не более, чем на 70%. В противном</w:t>
      </w:r>
      <w:r>
        <w:t xml:space="preserve"> случае приходится применять ряд вспомогательных средств, усложняющих процесс очистки.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>2.3.4.5. Регулирование подачи тепла и воды в здания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 xml:space="preserve">Для поддержания требуемого температурного графика в системе отопления рекомендуется устанавливать регуляторы на отопление с датчиком наружного воздуха. При этом расход тепловой энергии снижается на 3 - 5% за счет ликвидации </w:t>
      </w:r>
      <w:proofErr w:type="spellStart"/>
      <w:r>
        <w:t>перетопов</w:t>
      </w:r>
      <w:proofErr w:type="spellEnd"/>
      <w:r>
        <w:t xml:space="preserve"> в переходный осенне-весенний период.</w:t>
      </w:r>
    </w:p>
    <w:p w:rsidR="00000000" w:rsidRDefault="00C173CC">
      <w:pPr>
        <w:ind w:firstLine="284"/>
        <w:jc w:val="both"/>
      </w:pPr>
      <w:r>
        <w:t>По соответствующей программе регулятор может осуществлять понижение температуры воздуха в помещениях</w:t>
      </w:r>
      <w:r>
        <w:t xml:space="preserve"> в ночные часы и выходные дни, что наиболее актуально для зданий бюджетной сферы. Для исключения </w:t>
      </w:r>
      <w:proofErr w:type="spellStart"/>
      <w:r>
        <w:t>разрегулирования</w:t>
      </w:r>
      <w:proofErr w:type="spellEnd"/>
      <w:r>
        <w:t xml:space="preserve"> системы вместо элеватора рекомендуется устанавливать бесшумный насос. Рекомендуется устанавливать приборы в двухканальном исполнении (второй канал обеспечивает постоянство температуры воды в системе горячего водоснабжения).</w:t>
      </w:r>
    </w:p>
    <w:p w:rsidR="00000000" w:rsidRDefault="00C173CC">
      <w:pPr>
        <w:ind w:firstLine="284"/>
        <w:jc w:val="both"/>
      </w:pPr>
      <w:r>
        <w:t>Для автоматизации, систем отопления на вводах в здания выпускаются отечественные регуляторы с программным регулированием (системы программного регулирования температуры горяч</w:t>
      </w:r>
      <w:r>
        <w:t>ей воды, системы регулирования температуры смешанной воды для отопления).</w:t>
      </w:r>
    </w:p>
    <w:p w:rsidR="00000000" w:rsidRDefault="00C173CC">
      <w:pPr>
        <w:ind w:firstLine="284"/>
        <w:jc w:val="both"/>
      </w:pPr>
      <w:r>
        <w:t>Подобные системы обеспечивают поддержание, заданного температурного графика в зданиях бюджетной сферы (снижение температуры в нерабочие дни и часы) с учетом температуры наружного воздуха. При этом затраты на отопление осенью и весной, значительно снижаются. Системы окупаются за срок 6 месяцев.</w:t>
      </w:r>
    </w:p>
    <w:p w:rsidR="00000000" w:rsidRDefault="00C173CC">
      <w:pPr>
        <w:ind w:firstLine="284"/>
        <w:jc w:val="both"/>
      </w:pPr>
      <w:r>
        <w:t>Регулирование давления воды на вводах в здания рекомендуется проводить регуляторами давления прямого действия, либо редукционными клапанами.</w:t>
      </w:r>
    </w:p>
    <w:p w:rsidR="00000000" w:rsidRDefault="00C173CC">
      <w:pPr>
        <w:ind w:firstLine="284"/>
        <w:jc w:val="both"/>
      </w:pPr>
      <w:r>
        <w:t>Дл</w:t>
      </w:r>
      <w:r>
        <w:t xml:space="preserve">я получения дополнительной экономии тепла рекомендуется применять </w:t>
      </w:r>
      <w:proofErr w:type="spellStart"/>
      <w:r>
        <w:t>пофасадное</w:t>
      </w:r>
      <w:proofErr w:type="spellEnd"/>
      <w:r>
        <w:t xml:space="preserve"> регулирование в зданиях, системы отопления которых ориентированы по сторонам света.</w:t>
      </w:r>
    </w:p>
    <w:p w:rsidR="00000000" w:rsidRDefault="00C173CC">
      <w:pPr>
        <w:ind w:firstLine="284"/>
        <w:jc w:val="both"/>
      </w:pPr>
      <w:proofErr w:type="spellStart"/>
      <w:r>
        <w:t>Пофасадное</w:t>
      </w:r>
      <w:proofErr w:type="spellEnd"/>
      <w:r>
        <w:t xml:space="preserve"> регулирование позволяет снизить расход тепла за счет более полного использования солнечной радиации, а также обеспечивает дополнительную подачу тепла при ветре только в помещениях, расположенных на наветренном фасаде здания. Для зданий выше 9 этажей в ряде случаев, наряду с </w:t>
      </w:r>
      <w:proofErr w:type="spellStart"/>
      <w:r>
        <w:t>пофасадным</w:t>
      </w:r>
      <w:proofErr w:type="spellEnd"/>
      <w:r>
        <w:t xml:space="preserve"> регулированием, следует применять вертикальное </w:t>
      </w:r>
      <w:proofErr w:type="spellStart"/>
      <w:r>
        <w:t>позонно</w:t>
      </w:r>
      <w:r>
        <w:t>е</w:t>
      </w:r>
      <w:proofErr w:type="spellEnd"/>
      <w:r>
        <w:t xml:space="preserve"> регулирование.</w:t>
      </w:r>
    </w:p>
    <w:p w:rsidR="00000000" w:rsidRDefault="00C173CC">
      <w:pPr>
        <w:ind w:firstLine="284"/>
        <w:jc w:val="both"/>
      </w:pPr>
      <w:r>
        <w:t>Отечественные и зарубежные приборы и устройства автоматического регулирования позволяют организовать достаточно эффективное автоматическое регулирование системы отопления здания в целом составляют до 10 - 15%, а при фасадном регулировании - до 20% от ее расчетного годового расхода.</w:t>
      </w:r>
    </w:p>
    <w:p w:rsidR="00000000" w:rsidRDefault="00C173CC">
      <w:pPr>
        <w:ind w:firstLine="284"/>
        <w:jc w:val="both"/>
      </w:pPr>
      <w:proofErr w:type="spellStart"/>
      <w:r>
        <w:t>Пофасадное</w:t>
      </w:r>
      <w:proofErr w:type="spellEnd"/>
      <w:r>
        <w:t xml:space="preserve"> регулирование следует проводить для зданий с расчетной тепловой нагрузкой не ниже 0,3 </w:t>
      </w:r>
      <w:proofErr w:type="spellStart"/>
      <w:r>
        <w:t>Гкал</w:t>
      </w:r>
      <w:proofErr w:type="spellEnd"/>
      <w:r>
        <w:t>/ч.</w:t>
      </w:r>
    </w:p>
    <w:p w:rsidR="00000000" w:rsidRDefault="00C173CC">
      <w:pPr>
        <w:ind w:firstLine="284"/>
        <w:jc w:val="both"/>
      </w:pPr>
      <w:r>
        <w:t xml:space="preserve">Срок окупаемости систем </w:t>
      </w:r>
      <w:proofErr w:type="spellStart"/>
      <w:r>
        <w:t>пофасадного</w:t>
      </w:r>
      <w:proofErr w:type="spellEnd"/>
      <w:r>
        <w:t xml:space="preserve"> регулирования до 1,5 отопительных сезонов.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>2.3.4.6. Мероприятия по сок</w:t>
      </w:r>
      <w:r>
        <w:t xml:space="preserve">ращению расходов горячей </w:t>
      </w:r>
    </w:p>
    <w:p w:rsidR="00000000" w:rsidRDefault="00C173CC">
      <w:pPr>
        <w:ind w:firstLine="284"/>
        <w:jc w:val="center"/>
      </w:pPr>
      <w:r>
        <w:t>и холодной воды у потребителей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Одной из важнейших причин повышенного потребления воды населением является низкая надежность арматуры и избыточное давление во внутренних сетях.</w:t>
      </w:r>
    </w:p>
    <w:p w:rsidR="00000000" w:rsidRDefault="00C173CC">
      <w:pPr>
        <w:ind w:firstLine="284"/>
        <w:jc w:val="both"/>
      </w:pPr>
      <w:r>
        <w:t>Превышение свободных напоров воды на нижних этажах является причиной значительных расходов при выполнении бытовых процедур, утечек сливных бачков, когда вода через перелив поступает непосредственно в канализацию и т.д. Общая величина потерь из-за нерационального потребления холодной и горячей воды составляет</w:t>
      </w:r>
      <w:r>
        <w:t xml:space="preserve"> 30 - 40%.</w:t>
      </w:r>
    </w:p>
    <w:p w:rsidR="00000000" w:rsidRDefault="00C173CC">
      <w:pPr>
        <w:ind w:firstLine="284"/>
        <w:jc w:val="both"/>
      </w:pPr>
      <w:r>
        <w:t>Применение комплекса мероприятий по повышению надежности арматуры и снижению избыточного давления во внутридомовых трубопроводах холодного и горячего водоснабжения, позволяет ликвидировать основные причины высокого водопотребления.</w:t>
      </w:r>
    </w:p>
    <w:p w:rsidR="00000000" w:rsidRDefault="00C173CC">
      <w:pPr>
        <w:ind w:firstLine="284"/>
        <w:jc w:val="both"/>
      </w:pPr>
      <w:r>
        <w:t>Повышение надежности арматуры достигается рядом технических решений, в частности, заменой резиновых уплотнительных прокладок в вентильных головках на керамические шайбы со сроком службы порядка 20 лет без технического обслуживания, а также с применением специальных нап</w:t>
      </w:r>
      <w:r>
        <w:t>олнительного и сливного клапанов для сливного бачка унитаза. Срок окупаемости шайб и клапанов не более 1 года.</w:t>
      </w:r>
    </w:p>
    <w:p w:rsidR="00000000" w:rsidRDefault="00C173CC">
      <w:pPr>
        <w:ind w:firstLine="284"/>
        <w:jc w:val="both"/>
      </w:pPr>
      <w:r>
        <w:t xml:space="preserve">Для ликвидации различий в условиях пользования водой на первом и последнем этажах рекомендуется использовать регуляторы расхода воды с эластичной диафрагмой. Они предназначены для обеспечения номинального расхода воды независимо от величины давления в водопроводной сети. </w:t>
      </w:r>
    </w:p>
    <w:p w:rsidR="00000000" w:rsidRDefault="00C173CC">
      <w:pPr>
        <w:ind w:firstLine="284"/>
        <w:jc w:val="both"/>
      </w:pPr>
      <w:r>
        <w:t>Применение регуляторов расхода регламентировано СНиП 2.01.01-85* "Внутренний водопровод и канализация зданий".</w:t>
      </w:r>
    </w:p>
    <w:p w:rsidR="00000000" w:rsidRDefault="00C173CC">
      <w:pPr>
        <w:ind w:firstLine="284"/>
        <w:jc w:val="both"/>
      </w:pPr>
      <w:r>
        <w:t>Регуляторы расход</w:t>
      </w:r>
      <w:r>
        <w:t>а воды обеспечивают снижение потребления холодной и горячей воды (и тепла на ее приготовление) не менее, чем на 20% без снижения комфортности пользования водой, срок окупаемости регуляторов от 2 - 3 месяцев до 1 года.</w:t>
      </w:r>
    </w:p>
    <w:p w:rsidR="00000000" w:rsidRDefault="00C173CC">
      <w:pPr>
        <w:ind w:firstLine="284"/>
        <w:jc w:val="both"/>
      </w:pPr>
      <w:r>
        <w:t xml:space="preserve">Рекомендуется устанавливать регуляторы в любых точках систем холодного и горячего водоснабжения, где давление превышает 0,15 </w:t>
      </w:r>
      <w:proofErr w:type="spellStart"/>
      <w:r>
        <w:t>МПа</w:t>
      </w:r>
      <w:proofErr w:type="spellEnd"/>
      <w:r>
        <w:t>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</w:pPr>
      <w:r>
        <w:t xml:space="preserve">2.3.4.7. Контроль за потреблением энергоресурсов </w:t>
      </w:r>
    </w:p>
    <w:p w:rsidR="00000000" w:rsidRDefault="00C173CC">
      <w:pPr>
        <w:ind w:firstLine="284"/>
        <w:jc w:val="center"/>
      </w:pPr>
      <w:r>
        <w:t>и воды у потребителей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Одной из основных задач энергоресурсосбережения является организация приборного учета расх</w:t>
      </w:r>
      <w:r>
        <w:t xml:space="preserve">одов тепла, горячей и холодной воды у потребителя. </w:t>
      </w:r>
      <w:proofErr w:type="spellStart"/>
      <w:r>
        <w:t>Теплосчетчики</w:t>
      </w:r>
      <w:proofErr w:type="spellEnd"/>
      <w:r>
        <w:t xml:space="preserve"> и расходомеры холодной воды следует устанавливать на вводах зданий, а в квартирах - расходомеры горячей и холодной воды.</w:t>
      </w:r>
    </w:p>
    <w:p w:rsidR="00000000" w:rsidRDefault="00C173CC">
      <w:pPr>
        <w:ind w:firstLine="284"/>
        <w:jc w:val="both"/>
      </w:pPr>
      <w:r>
        <w:t>Описание приборов контроля расхода тепла и воды приведено в разделе 2.3.5.</w:t>
      </w:r>
    </w:p>
    <w:p w:rsidR="00000000" w:rsidRDefault="00C173CC">
      <w:pPr>
        <w:ind w:firstLine="284"/>
        <w:jc w:val="both"/>
      </w:pPr>
      <w:r>
        <w:t>В настоящее время создаются автоматизированные системы диспетчерского контроля и управления для жилищного фонда (</w:t>
      </w:r>
      <w:proofErr w:type="spellStart"/>
      <w:r>
        <w:t>АСДКУ</w:t>
      </w:r>
      <w:proofErr w:type="spellEnd"/>
      <w:r>
        <w:t xml:space="preserve">), в которых осуществляется дистанционный контроль за расходом, температурой и давлением тепла на отопление и горячее водоснабжение, </w:t>
      </w:r>
      <w:r>
        <w:t>а также контроль за расходом и давлением холодной воды.</w:t>
      </w:r>
    </w:p>
    <w:p w:rsidR="00000000" w:rsidRDefault="00C173CC">
      <w:pPr>
        <w:ind w:firstLine="284"/>
        <w:jc w:val="both"/>
      </w:pPr>
      <w:r>
        <w:t xml:space="preserve">Краткое описание основных функций </w:t>
      </w:r>
      <w:proofErr w:type="spellStart"/>
      <w:r>
        <w:t>АСДКУ</w:t>
      </w:r>
      <w:proofErr w:type="spellEnd"/>
      <w:r>
        <w:t xml:space="preserve"> жилищного фонда приведено в разделе 2.3.6.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  <w:rPr>
          <w:i/>
        </w:rPr>
      </w:pPr>
      <w:r>
        <w:rPr>
          <w:i/>
        </w:rPr>
        <w:t xml:space="preserve">2.3.5. Установка приборов учета расхода тепла, </w:t>
      </w:r>
    </w:p>
    <w:p w:rsidR="00000000" w:rsidRDefault="00C173CC">
      <w:pPr>
        <w:ind w:firstLine="284"/>
        <w:jc w:val="center"/>
        <w:rPr>
          <w:i/>
        </w:rPr>
      </w:pPr>
      <w:r>
        <w:rPr>
          <w:i/>
        </w:rPr>
        <w:t>горячей и холодной воды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Создание систем приборного учета расхода тепла и воды является одним из важных путей энергоресурсосбережения, позволяет упорядочить расчеты за ресурсы на основе регистрации фактического их потребления. Обязательное применение таких приборов предусмотрено Законом РФ "Об энергосбережении", постановле</w:t>
      </w:r>
      <w:r>
        <w:t>ниями Правительства России и субъектов Федерации и входит во все программы энергоресурсосбережения.</w:t>
      </w:r>
    </w:p>
    <w:p w:rsidR="00000000" w:rsidRDefault="00C173CC">
      <w:pPr>
        <w:ind w:firstLine="284"/>
        <w:jc w:val="both"/>
      </w:pPr>
      <w:r>
        <w:t>Общая потребность Российской Федерации составляет:</w:t>
      </w:r>
    </w:p>
    <w:p w:rsidR="00000000" w:rsidRDefault="00C173CC">
      <w:pPr>
        <w:ind w:firstLine="284"/>
        <w:jc w:val="both"/>
      </w:pPr>
      <w:r>
        <w:t xml:space="preserve">- по </w:t>
      </w:r>
      <w:proofErr w:type="spellStart"/>
      <w:r>
        <w:t>теплосчетчикам</w:t>
      </w:r>
      <w:proofErr w:type="spellEnd"/>
      <w:r>
        <w:t xml:space="preserve"> около 24 млн. шт.;</w:t>
      </w:r>
    </w:p>
    <w:p w:rsidR="00000000" w:rsidRDefault="00C173CC">
      <w:pPr>
        <w:ind w:firstLine="284"/>
        <w:jc w:val="both"/>
      </w:pPr>
      <w:r>
        <w:t>- по счетчикам горячей и холодной воды - свыше 66 млн. шт.</w:t>
      </w:r>
    </w:p>
    <w:p w:rsidR="00000000" w:rsidRDefault="00C173CC">
      <w:pPr>
        <w:ind w:firstLine="284"/>
        <w:jc w:val="both"/>
      </w:pPr>
      <w:r>
        <w:t>Приборы должны устанавливаться:</w:t>
      </w:r>
    </w:p>
    <w:p w:rsidR="00000000" w:rsidRDefault="00C173CC">
      <w:pPr>
        <w:ind w:firstLine="284"/>
        <w:jc w:val="both"/>
      </w:pPr>
      <w:r>
        <w:t xml:space="preserve">- на выходе </w:t>
      </w:r>
      <w:proofErr w:type="spellStart"/>
      <w:r>
        <w:t>тепловодоисточников</w:t>
      </w:r>
      <w:proofErr w:type="spellEnd"/>
      <w:r>
        <w:t xml:space="preserve"> (насосных, станций, котельных, ТЭЦ);</w:t>
      </w:r>
    </w:p>
    <w:p w:rsidR="00000000" w:rsidRDefault="00C173CC">
      <w:pPr>
        <w:ind w:firstLine="284"/>
        <w:jc w:val="both"/>
      </w:pPr>
      <w:r>
        <w:t>- на вводах жилых, общественных и производственных зданий;</w:t>
      </w:r>
    </w:p>
    <w:p w:rsidR="00000000" w:rsidRDefault="00C173CC">
      <w:pPr>
        <w:ind w:firstLine="284"/>
        <w:jc w:val="both"/>
      </w:pPr>
      <w:r>
        <w:t>- в квартирах и коттеджах;</w:t>
      </w:r>
    </w:p>
    <w:p w:rsidR="00000000" w:rsidRDefault="00C173CC">
      <w:pPr>
        <w:ind w:firstLine="284"/>
        <w:jc w:val="both"/>
      </w:pPr>
      <w:r>
        <w:t xml:space="preserve">- на границах раздела сфер ответственности между системами </w:t>
      </w:r>
      <w:proofErr w:type="spellStart"/>
      <w:r>
        <w:t>АО-энерго</w:t>
      </w:r>
      <w:proofErr w:type="spellEnd"/>
      <w:r>
        <w:t>, источн</w:t>
      </w:r>
      <w:r>
        <w:t xml:space="preserve">иками </w:t>
      </w:r>
      <w:proofErr w:type="spellStart"/>
      <w:r>
        <w:t>тепловодоснабжения</w:t>
      </w:r>
      <w:proofErr w:type="spellEnd"/>
      <w:r>
        <w:t xml:space="preserve"> других министерств и ведомств и муниципальными </w:t>
      </w:r>
      <w:proofErr w:type="spellStart"/>
      <w:r>
        <w:t>тепло-водоснабжающими</w:t>
      </w:r>
      <w:proofErr w:type="spellEnd"/>
      <w:r>
        <w:t xml:space="preserve"> организациями.</w:t>
      </w:r>
    </w:p>
    <w:p w:rsidR="00000000" w:rsidRDefault="00C173CC">
      <w:pPr>
        <w:ind w:firstLine="284"/>
        <w:jc w:val="both"/>
      </w:pPr>
      <w:r>
        <w:t xml:space="preserve">При этом согласно постановлениям Правительства в первую очередь </w:t>
      </w:r>
      <w:proofErr w:type="spellStart"/>
      <w:r>
        <w:t>теплосчетчики</w:t>
      </w:r>
      <w:proofErr w:type="spellEnd"/>
      <w:r>
        <w:t xml:space="preserve"> и </w:t>
      </w:r>
      <w:proofErr w:type="spellStart"/>
      <w:r>
        <w:t>водосчетчики</w:t>
      </w:r>
      <w:proofErr w:type="spellEnd"/>
      <w:r>
        <w:t xml:space="preserve"> должны устанавливаться в бюджетных организациях.</w:t>
      </w:r>
    </w:p>
    <w:p w:rsidR="00000000" w:rsidRDefault="00C173CC">
      <w:pPr>
        <w:ind w:firstLine="284"/>
        <w:jc w:val="both"/>
      </w:pPr>
      <w:r>
        <w:t xml:space="preserve">В целях рационального применения, приборов учета необходимо начинать работу по созданию узлов учета тепла и воды с </w:t>
      </w:r>
      <w:proofErr w:type="spellStart"/>
      <w:r>
        <w:t>энергоресурсоаудита</w:t>
      </w:r>
      <w:proofErr w:type="spellEnd"/>
      <w:r>
        <w:t xml:space="preserve">, т.е. измерения фактических расходов энергоресурсов и сопоставления этих данных с действующими договорами между </w:t>
      </w:r>
      <w:proofErr w:type="spellStart"/>
      <w:r>
        <w:t>тепловодоснабж</w:t>
      </w:r>
      <w:r>
        <w:t>ающими</w:t>
      </w:r>
      <w:proofErr w:type="spellEnd"/>
      <w:r>
        <w:t xml:space="preserve"> организациями и потребителями ресурсов.</w:t>
      </w:r>
    </w:p>
    <w:p w:rsidR="00000000" w:rsidRDefault="00C173CC">
      <w:pPr>
        <w:ind w:firstLine="284"/>
        <w:jc w:val="both"/>
      </w:pPr>
      <w:r>
        <w:t xml:space="preserve">Методика выполнения этих работ содержится в "Рекомендациях по проведению </w:t>
      </w:r>
      <w:proofErr w:type="spellStart"/>
      <w:r>
        <w:t>энергоресурсоаудита</w:t>
      </w:r>
      <w:proofErr w:type="spellEnd"/>
      <w:r>
        <w:t xml:space="preserve"> на объектах </w:t>
      </w:r>
      <w:proofErr w:type="spellStart"/>
      <w:r>
        <w:t>ЖКХ</w:t>
      </w:r>
      <w:proofErr w:type="spellEnd"/>
      <w:r>
        <w:t xml:space="preserve">", разработанных Академией коммунального хозяйства им. К.Д. Памфилова по заданию Госстроя России. </w:t>
      </w:r>
    </w:p>
    <w:p w:rsidR="00000000" w:rsidRDefault="00C173CC">
      <w:pPr>
        <w:ind w:firstLine="284"/>
        <w:jc w:val="both"/>
      </w:pPr>
      <w:r>
        <w:t>Создание узлов учета должно производиться на основе проектов, согласованных с теплоснабжающей организацией (согласно "Правилам учета тепловой энергии...").</w:t>
      </w:r>
    </w:p>
    <w:p w:rsidR="00000000" w:rsidRDefault="00C173CC">
      <w:pPr>
        <w:ind w:firstLine="284"/>
        <w:jc w:val="both"/>
      </w:pPr>
      <w:r>
        <w:t>Порядок проектирования и организации эксплуатации узлов учета изложен в "Рекомендациях по выбору, уста</w:t>
      </w:r>
      <w:r>
        <w:t>новке и эксплуатации приборов учета расхода тепловой энергии, горячей и холодной воды для энергоресурсосбережения в жилищно-коммунальной сфере", разработанных Академией коммунального хозяйства им. К.Д. Памфилова.</w:t>
      </w:r>
    </w:p>
    <w:p w:rsidR="00000000" w:rsidRDefault="00C173CC">
      <w:pPr>
        <w:ind w:firstLine="284"/>
        <w:jc w:val="both"/>
      </w:pPr>
      <w:r>
        <w:t xml:space="preserve">Важной частью работы по созданию узлов учета, является правильный выбор типа </w:t>
      </w:r>
      <w:proofErr w:type="spellStart"/>
      <w:r>
        <w:t>теплосчетчика</w:t>
      </w:r>
      <w:proofErr w:type="spellEnd"/>
      <w:r>
        <w:t xml:space="preserve"> и </w:t>
      </w:r>
      <w:proofErr w:type="spellStart"/>
      <w:r>
        <w:t>водосчетчика</w:t>
      </w:r>
      <w:proofErr w:type="spellEnd"/>
      <w:r>
        <w:t>.</w:t>
      </w:r>
    </w:p>
    <w:p w:rsidR="00000000" w:rsidRDefault="00C173CC">
      <w:pPr>
        <w:ind w:firstLine="284"/>
        <w:jc w:val="both"/>
      </w:pPr>
      <w:r>
        <w:t xml:space="preserve">В настоящее время предприятиями России выпускаются десятки типов приборов, которые имеют сертификаты </w:t>
      </w:r>
      <w:proofErr w:type="spellStart"/>
      <w:r>
        <w:t>Главгосэнергонадзора</w:t>
      </w:r>
      <w:proofErr w:type="spellEnd"/>
      <w:r>
        <w:t xml:space="preserve"> и могут служить основой коммерческого учета расхода тепла и воды. Наря</w:t>
      </w:r>
      <w:r>
        <w:t xml:space="preserve">ду с этим большое количество фирм дальнего и ближнего зарубежья предлагают свои </w:t>
      </w:r>
      <w:proofErr w:type="spellStart"/>
      <w:r>
        <w:t>теплосчетчики</w:t>
      </w:r>
      <w:proofErr w:type="spellEnd"/>
      <w:r>
        <w:t xml:space="preserve"> и </w:t>
      </w:r>
      <w:proofErr w:type="spellStart"/>
      <w:r>
        <w:t>водосчетчики</w:t>
      </w:r>
      <w:proofErr w:type="spellEnd"/>
      <w:r>
        <w:t>, также имеющие соответствующие сертификаты.</w:t>
      </w:r>
    </w:p>
    <w:p w:rsidR="00000000" w:rsidRDefault="00C173CC">
      <w:pPr>
        <w:ind w:firstLine="284"/>
        <w:jc w:val="both"/>
      </w:pPr>
      <w:r>
        <w:t xml:space="preserve">Выбор конкретного типа </w:t>
      </w:r>
      <w:proofErr w:type="spellStart"/>
      <w:r>
        <w:t>теплосчетчика</w:t>
      </w:r>
      <w:proofErr w:type="spellEnd"/>
      <w:r>
        <w:t xml:space="preserve"> или </w:t>
      </w:r>
      <w:proofErr w:type="spellStart"/>
      <w:r>
        <w:t>водосчетчика</w:t>
      </w:r>
      <w:proofErr w:type="spellEnd"/>
      <w:r>
        <w:t xml:space="preserve"> должен осуществляться из конкретных условий создаваемого узла учета, в том числе:</w:t>
      </w:r>
    </w:p>
    <w:p w:rsidR="00000000" w:rsidRDefault="00C173CC">
      <w:pPr>
        <w:ind w:firstLine="284"/>
        <w:jc w:val="both"/>
      </w:pPr>
      <w:r>
        <w:t>- назначение узла учета;</w:t>
      </w:r>
    </w:p>
    <w:p w:rsidR="00000000" w:rsidRDefault="00C173CC">
      <w:pPr>
        <w:ind w:firstLine="284"/>
        <w:jc w:val="both"/>
      </w:pPr>
      <w:r>
        <w:t>- диаметров трубопроводов, на которых могут быть установлены расходомеры;</w:t>
      </w:r>
    </w:p>
    <w:p w:rsidR="00000000" w:rsidRDefault="00C173CC">
      <w:pPr>
        <w:ind w:firstLine="284"/>
        <w:jc w:val="both"/>
      </w:pPr>
      <w:r>
        <w:t>- качественного состава воды;</w:t>
      </w:r>
    </w:p>
    <w:p w:rsidR="00000000" w:rsidRDefault="00C173CC">
      <w:pPr>
        <w:ind w:firstLine="284"/>
        <w:jc w:val="both"/>
      </w:pPr>
      <w:r>
        <w:t>- количества расходомеров, датчиков давления и температуры, которые необходимо подключить к вт</w:t>
      </w:r>
      <w:r>
        <w:t>оричному прибору (</w:t>
      </w:r>
      <w:proofErr w:type="spellStart"/>
      <w:r>
        <w:t>тепловычислителю</w:t>
      </w:r>
      <w:proofErr w:type="spellEnd"/>
      <w:r>
        <w:t>);</w:t>
      </w:r>
    </w:p>
    <w:p w:rsidR="00000000" w:rsidRDefault="00C173CC">
      <w:pPr>
        <w:ind w:firstLine="284"/>
        <w:jc w:val="both"/>
      </w:pPr>
      <w:r>
        <w:t>- возможности дистанционного подключения к диспетчерской системе контроля (к компьютеру);</w:t>
      </w:r>
    </w:p>
    <w:p w:rsidR="00000000" w:rsidRDefault="00C173CC">
      <w:pPr>
        <w:ind w:firstLine="284"/>
        <w:jc w:val="both"/>
      </w:pPr>
      <w:r>
        <w:t xml:space="preserve">- </w:t>
      </w:r>
      <w:proofErr w:type="spellStart"/>
      <w:r>
        <w:t>межповерочного</w:t>
      </w:r>
      <w:proofErr w:type="spellEnd"/>
      <w:r>
        <w:t xml:space="preserve"> интервала;</w:t>
      </w:r>
    </w:p>
    <w:p w:rsidR="00000000" w:rsidRDefault="00C173CC">
      <w:pPr>
        <w:ind w:firstLine="284"/>
        <w:jc w:val="both"/>
      </w:pPr>
      <w:r>
        <w:t>- стоимости приборов;</w:t>
      </w:r>
    </w:p>
    <w:p w:rsidR="00000000" w:rsidRDefault="00C173CC">
      <w:pPr>
        <w:ind w:firstLine="284"/>
        <w:jc w:val="both"/>
      </w:pPr>
      <w:r>
        <w:t>- обеспечения технического сопровождения.</w:t>
      </w:r>
    </w:p>
    <w:p w:rsidR="00000000" w:rsidRDefault="00C173CC">
      <w:pPr>
        <w:ind w:firstLine="284"/>
        <w:jc w:val="both"/>
      </w:pPr>
      <w:r>
        <w:t xml:space="preserve">Так, для </w:t>
      </w:r>
      <w:proofErr w:type="spellStart"/>
      <w:r>
        <w:t>тепловодоисточников</w:t>
      </w:r>
      <w:proofErr w:type="spellEnd"/>
      <w:r>
        <w:t xml:space="preserve"> с выходными трубопроводами более 200 мм следует использовать ультразвуковые </w:t>
      </w:r>
      <w:proofErr w:type="spellStart"/>
      <w:r>
        <w:t>теплосчетчики</w:t>
      </w:r>
      <w:proofErr w:type="spellEnd"/>
      <w:r>
        <w:t xml:space="preserve"> и </w:t>
      </w:r>
      <w:proofErr w:type="spellStart"/>
      <w:r>
        <w:t>водосчетчики</w:t>
      </w:r>
      <w:proofErr w:type="spellEnd"/>
      <w:r>
        <w:t>.</w:t>
      </w:r>
    </w:p>
    <w:p w:rsidR="00000000" w:rsidRDefault="00C173CC">
      <w:pPr>
        <w:ind w:firstLine="284"/>
        <w:jc w:val="both"/>
      </w:pPr>
      <w:r>
        <w:t>На вводах в здания целесообразно устанавливать электромагнитные, вихревые или тахометрические приборы.</w:t>
      </w:r>
    </w:p>
    <w:p w:rsidR="00000000" w:rsidRDefault="00C173CC">
      <w:pPr>
        <w:ind w:firstLine="284"/>
        <w:jc w:val="both"/>
      </w:pPr>
      <w:r>
        <w:t>Для поквартального учета тепла, горячей и холодной воды</w:t>
      </w:r>
      <w:r>
        <w:t xml:space="preserve"> (а также для коттеджей) целесообразно применение тахометрических приборов.</w:t>
      </w:r>
    </w:p>
    <w:p w:rsidR="00000000" w:rsidRDefault="00C173CC">
      <w:pPr>
        <w:ind w:firstLine="284"/>
        <w:jc w:val="both"/>
      </w:pPr>
      <w:r>
        <w:t>Существенным ограничением по применению приборов является требование по длине прямого участка до и после расходомера.</w:t>
      </w:r>
    </w:p>
    <w:p w:rsidR="00000000" w:rsidRDefault="00C173CC">
      <w:pPr>
        <w:ind w:firstLine="284"/>
        <w:jc w:val="both"/>
      </w:pPr>
      <w:r>
        <w:t xml:space="preserve">Для электромагнитных и тахометрических приборов эти требования составляют соответственно 5 </w:t>
      </w:r>
      <w:proofErr w:type="spellStart"/>
      <w:r>
        <w:t>Ду</w:t>
      </w:r>
      <w:proofErr w:type="spellEnd"/>
      <w:r>
        <w:t xml:space="preserve"> и 2 </w:t>
      </w:r>
      <w:proofErr w:type="spellStart"/>
      <w:r>
        <w:t>Ду</w:t>
      </w:r>
      <w:proofErr w:type="spellEnd"/>
      <w:r>
        <w:t xml:space="preserve">, а для других видов приборов 10 - 15 </w:t>
      </w:r>
      <w:proofErr w:type="spellStart"/>
      <w:r>
        <w:t>Ду</w:t>
      </w:r>
      <w:proofErr w:type="spellEnd"/>
      <w:r>
        <w:t xml:space="preserve"> и 5 - 7 </w:t>
      </w:r>
      <w:proofErr w:type="spellStart"/>
      <w:r>
        <w:t>Ду</w:t>
      </w:r>
      <w:proofErr w:type="spellEnd"/>
      <w:r>
        <w:t xml:space="preserve"> и более.</w:t>
      </w:r>
    </w:p>
    <w:p w:rsidR="00000000" w:rsidRDefault="00C173CC">
      <w:pPr>
        <w:ind w:firstLine="284"/>
        <w:jc w:val="both"/>
      </w:pPr>
      <w:r>
        <w:t xml:space="preserve">Для тахометрических приборов представляют опасность возможные загрязнения воды (в т.ч. </w:t>
      </w:r>
      <w:proofErr w:type="spellStart"/>
      <w:r>
        <w:t>пескование</w:t>
      </w:r>
      <w:proofErr w:type="spellEnd"/>
      <w:r>
        <w:t>), а также гидравлические удары при открытии задвижек и т.п.</w:t>
      </w:r>
    </w:p>
    <w:p w:rsidR="00000000" w:rsidRDefault="00C173CC">
      <w:pPr>
        <w:ind w:firstLine="284"/>
        <w:jc w:val="both"/>
      </w:pPr>
      <w:r>
        <w:t>Для вихревых приборов характерна значительная потеря напора на датчиках (до 3 - 5 м), что в ряде случаев неприемлемо.</w:t>
      </w:r>
    </w:p>
    <w:p w:rsidR="00000000" w:rsidRDefault="00C173CC">
      <w:pPr>
        <w:ind w:firstLine="284"/>
        <w:jc w:val="both"/>
      </w:pPr>
      <w:r>
        <w:t xml:space="preserve">Если в узле учета необходимо подключение 3 - 4 и более расходомеров (для отопления, </w:t>
      </w:r>
      <w:proofErr w:type="spellStart"/>
      <w:r>
        <w:t>ГВС</w:t>
      </w:r>
      <w:proofErr w:type="spellEnd"/>
      <w:r>
        <w:t xml:space="preserve"> и </w:t>
      </w:r>
      <w:proofErr w:type="spellStart"/>
      <w:r>
        <w:t>ХВС</w:t>
      </w:r>
      <w:proofErr w:type="spellEnd"/>
      <w:r>
        <w:t xml:space="preserve">), а также датчиков давления, следует применять </w:t>
      </w:r>
      <w:proofErr w:type="spellStart"/>
      <w:r>
        <w:t>теплосчетчики</w:t>
      </w:r>
      <w:proofErr w:type="spellEnd"/>
      <w:r>
        <w:t xml:space="preserve"> с многофункциональными вторичными приборами (</w:t>
      </w:r>
      <w:proofErr w:type="spellStart"/>
      <w:r>
        <w:t>тепловычислителями</w:t>
      </w:r>
      <w:proofErr w:type="spellEnd"/>
      <w:r>
        <w:t>), имеющими соответствующее количество входных каналов.</w:t>
      </w:r>
    </w:p>
    <w:p w:rsidR="00000000" w:rsidRDefault="00C173CC">
      <w:pPr>
        <w:ind w:firstLine="284"/>
        <w:jc w:val="both"/>
      </w:pPr>
      <w:r>
        <w:t xml:space="preserve">Необходимо также учитывать наличие интерфейсов RS-232 и RS-485 для подключения </w:t>
      </w:r>
      <w:proofErr w:type="spellStart"/>
      <w:r>
        <w:t>теплосчетчика</w:t>
      </w:r>
      <w:proofErr w:type="spellEnd"/>
      <w:r>
        <w:t xml:space="preserve"> к аппаратуре передачи данн</w:t>
      </w:r>
      <w:r>
        <w:t>ых к компьютеру.</w:t>
      </w:r>
    </w:p>
    <w:p w:rsidR="00000000" w:rsidRDefault="00C173CC">
      <w:pPr>
        <w:ind w:firstLine="284"/>
        <w:jc w:val="both"/>
      </w:pPr>
      <w:r>
        <w:t xml:space="preserve">Для обеспечения надежной эксплуатации узлов учета целесообразно выбирать приборы, которые имеют </w:t>
      </w:r>
      <w:proofErr w:type="spellStart"/>
      <w:r>
        <w:t>межповерочный</w:t>
      </w:r>
      <w:proofErr w:type="spellEnd"/>
      <w:r>
        <w:t xml:space="preserve"> интервал 2 - 3 года и более. Организации, осуществляющие установку приборов, должны гарантировать их техническое сопровождение на послегарантийный период, а также периодическую метрологическую поверку приборов.</w:t>
      </w:r>
    </w:p>
    <w:p w:rsidR="00000000" w:rsidRDefault="00C173CC">
      <w:pPr>
        <w:ind w:firstLine="284"/>
        <w:jc w:val="both"/>
      </w:pPr>
      <w:r>
        <w:t>Стоимости приборов могут существенно отличаться между собой. Выбор приборов производится с учетом факторов технической эффективности и стоимости.</w:t>
      </w:r>
    </w:p>
    <w:p w:rsidR="00000000" w:rsidRDefault="00C173CC">
      <w:pPr>
        <w:ind w:firstLine="284"/>
        <w:jc w:val="both"/>
      </w:pPr>
      <w:r>
        <w:t>Вначале следует определить т</w:t>
      </w:r>
      <w:r>
        <w:t>ипы приборов, отвечающих по своим техническим характеристикам требованиям к конкретным условиям объекта. Затем среди них отбираются приборы с наименьшей стоимостью. При этом следует принимать во внимание условия оплаты (предоплата, товарный кредит, лизинг, зачетные формы оплаты и др.).</w:t>
      </w:r>
    </w:p>
    <w:p w:rsidR="00000000" w:rsidRDefault="00C173CC">
      <w:pPr>
        <w:ind w:firstLine="284"/>
        <w:jc w:val="both"/>
      </w:pPr>
      <w:r>
        <w:t xml:space="preserve">Ниже в таблице приводится стоимость ряда </w:t>
      </w:r>
      <w:proofErr w:type="spellStart"/>
      <w:r>
        <w:t>теплосчетчиков</w:t>
      </w:r>
      <w:proofErr w:type="spellEnd"/>
      <w:r>
        <w:t>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right"/>
      </w:pPr>
      <w:r>
        <w:t>Таблица 1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center"/>
        <w:rPr>
          <w:b/>
        </w:rPr>
      </w:pPr>
      <w:r>
        <w:rPr>
          <w:b/>
        </w:rPr>
        <w:t xml:space="preserve">Цены на ряд типов </w:t>
      </w:r>
      <w:proofErr w:type="spellStart"/>
      <w:r>
        <w:rPr>
          <w:b/>
        </w:rPr>
        <w:t>теплосчетчиков</w:t>
      </w:r>
      <w:proofErr w:type="spellEnd"/>
      <w:r>
        <w:rPr>
          <w:b/>
        </w:rPr>
        <w:t xml:space="preserve"> </w:t>
      </w:r>
    </w:p>
    <w:p w:rsidR="00000000" w:rsidRDefault="00C173CC">
      <w:pPr>
        <w:ind w:firstLine="284"/>
        <w:jc w:val="center"/>
        <w:rPr>
          <w:b/>
        </w:rPr>
      </w:pPr>
      <w:r>
        <w:rPr>
          <w:b/>
        </w:rPr>
        <w:t>на 01.09.1999 год (в $)</w:t>
      </w:r>
    </w:p>
    <w:p w:rsidR="00000000" w:rsidRDefault="00C173CC">
      <w:pPr>
        <w:ind w:firstLine="284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18"/>
        <w:gridCol w:w="747"/>
        <w:gridCol w:w="888"/>
        <w:gridCol w:w="723"/>
        <w:gridCol w:w="709"/>
        <w:gridCol w:w="748"/>
        <w:gridCol w:w="913"/>
        <w:gridCol w:w="1045"/>
        <w:gridCol w:w="1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proofErr w:type="spellStart"/>
            <w:r>
              <w:t>Ду</w:t>
            </w:r>
            <w:proofErr w:type="spellEnd"/>
            <w:r>
              <w:t>, мм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ТЭМ-05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SA-94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proofErr w:type="spellStart"/>
            <w:r>
              <w:t>СТЭМ</w:t>
            </w:r>
            <w:proofErr w:type="spellEnd"/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proofErr w:type="spellStart"/>
            <w:r>
              <w:t>МТ</w:t>
            </w:r>
            <w:proofErr w:type="spellEnd"/>
            <w:r>
              <w:t xml:space="preserve"> 200DS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proofErr w:type="spellStart"/>
            <w:r>
              <w:t>КСТ-В</w:t>
            </w:r>
            <w:proofErr w:type="spellEnd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proofErr w:type="spellStart"/>
            <w:r>
              <w:t>Multical</w:t>
            </w:r>
            <w:proofErr w:type="spellEnd"/>
            <w:r>
              <w:t xml:space="preserve"> </w:t>
            </w:r>
          </w:p>
          <w:p w:rsidR="00000000" w:rsidRDefault="00C173CC">
            <w:pPr>
              <w:jc w:val="center"/>
            </w:pPr>
            <w:proofErr w:type="spellStart"/>
            <w:r>
              <w:t>III</w:t>
            </w:r>
            <w:proofErr w:type="spellEnd"/>
            <w:r>
              <w:t xml:space="preserve"> </w:t>
            </w:r>
            <w:proofErr w:type="spellStart"/>
            <w:r>
              <w:t>UF</w:t>
            </w:r>
            <w:proofErr w:type="spellEnd"/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СТ-6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73CC">
            <w:r>
              <w:t xml:space="preserve">Закрытые системы </w:t>
            </w:r>
            <w:proofErr w:type="spellStart"/>
            <w:r>
              <w:t>тепло-снабжения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Электромагнитные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Вихревой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Ультразвуковой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Тахометрический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73CC"/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1/25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1374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1505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1034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1312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787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1173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73CC"/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1/50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1500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1152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1473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1421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73CC"/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1/80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1592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1818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1223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1548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1953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73CC"/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1/100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1674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1942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1283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/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1/150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1933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2210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1427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1965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4115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73CC">
            <w:r>
              <w:t xml:space="preserve">Открытые системы </w:t>
            </w:r>
            <w:proofErr w:type="spellStart"/>
            <w:r>
              <w:t>тепло-снабжения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2/25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1752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2242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1525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1473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73CC"/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2/50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1914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2491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1620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1705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73CC"/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2/80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2227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2767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1737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1796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73CC"/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2/100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2664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3265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1979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r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2/150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3180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3671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2112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2350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73CC">
            <w:pPr>
              <w:jc w:val="center"/>
            </w:pPr>
            <w:r>
              <w:t>1922</w:t>
            </w:r>
          </w:p>
        </w:tc>
      </w:tr>
    </w:tbl>
    <w:p w:rsidR="00000000" w:rsidRDefault="00C173CC">
      <w:pPr>
        <w:ind w:firstLine="284"/>
        <w:jc w:val="both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2.3.6. Автоматизированные системы диспетчерского</w:t>
      </w: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контроля и упра</w:t>
      </w:r>
      <w:r>
        <w:rPr>
          <w:rFonts w:ascii="Times New Roman" w:hAnsi="Times New Roman"/>
          <w:b w:val="0"/>
          <w:i/>
          <w:sz w:val="20"/>
        </w:rPr>
        <w:t>вления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Высшим этапом работ по контролю и учету расхода энергоресурсов и воды в жилищно-коммунальном хозяйстве является создание автоматизированных систем диспетчерского контроля и управления (</w:t>
      </w:r>
      <w:proofErr w:type="spellStart"/>
      <w:r>
        <w:t>АСДКУ</w:t>
      </w:r>
      <w:proofErr w:type="spellEnd"/>
      <w:r>
        <w:t>).</w:t>
      </w:r>
    </w:p>
    <w:p w:rsidR="00000000" w:rsidRDefault="00C173CC">
      <w:pPr>
        <w:ind w:firstLine="284"/>
        <w:jc w:val="both"/>
      </w:pPr>
      <w:proofErr w:type="spellStart"/>
      <w:r>
        <w:t>АСДКУ</w:t>
      </w:r>
      <w:proofErr w:type="spellEnd"/>
      <w:r>
        <w:t xml:space="preserve"> создаются:</w:t>
      </w:r>
    </w:p>
    <w:p w:rsidR="00000000" w:rsidRDefault="00C173CC">
      <w:pPr>
        <w:ind w:firstLine="284"/>
        <w:jc w:val="both"/>
      </w:pPr>
      <w:r>
        <w:t>- для предприятия водоснабжения и канализации (</w:t>
      </w:r>
      <w:proofErr w:type="spellStart"/>
      <w:r>
        <w:t>АСДКУ</w:t>
      </w:r>
      <w:proofErr w:type="spellEnd"/>
      <w:r>
        <w:t xml:space="preserve"> "Водоканал");</w:t>
      </w:r>
    </w:p>
    <w:p w:rsidR="00000000" w:rsidRDefault="00C173CC">
      <w:pPr>
        <w:ind w:firstLine="284"/>
        <w:jc w:val="both"/>
      </w:pPr>
      <w:r>
        <w:t>- для предприятия теплоснабжения (</w:t>
      </w:r>
      <w:proofErr w:type="spellStart"/>
      <w:r>
        <w:t>АСДКУ</w:t>
      </w:r>
      <w:proofErr w:type="spellEnd"/>
      <w:r>
        <w:t xml:space="preserve"> "Тепловые сети");</w:t>
      </w:r>
    </w:p>
    <w:p w:rsidR="00000000" w:rsidRDefault="00C173CC">
      <w:pPr>
        <w:ind w:firstLine="284"/>
        <w:jc w:val="both"/>
      </w:pPr>
      <w:r>
        <w:t>- для жилищного фонда (</w:t>
      </w:r>
      <w:proofErr w:type="spellStart"/>
      <w:r>
        <w:t>АСДКУ</w:t>
      </w:r>
      <w:proofErr w:type="spellEnd"/>
      <w:r>
        <w:t xml:space="preserve"> - </w:t>
      </w:r>
      <w:proofErr w:type="spellStart"/>
      <w:r>
        <w:t>ДЕЗ</w:t>
      </w:r>
      <w:proofErr w:type="spellEnd"/>
      <w:r>
        <w:t xml:space="preserve"> района или города). </w:t>
      </w:r>
    </w:p>
    <w:p w:rsidR="00000000" w:rsidRDefault="00C173CC">
      <w:pPr>
        <w:ind w:firstLine="284"/>
        <w:jc w:val="both"/>
      </w:pPr>
      <w:r>
        <w:t xml:space="preserve">Основными задачами </w:t>
      </w:r>
      <w:proofErr w:type="spellStart"/>
      <w:r>
        <w:t>АСДКУ</w:t>
      </w:r>
      <w:proofErr w:type="spellEnd"/>
      <w:r>
        <w:t xml:space="preserve"> являются оперативный контроль  текущих параметров производства и потребления ресурсов, а</w:t>
      </w:r>
      <w:r>
        <w:t xml:space="preserve"> также анализ режимов эксплуатации, оптимальное управление и регулирование объектами </w:t>
      </w:r>
      <w:proofErr w:type="spellStart"/>
      <w:r>
        <w:t>тепловодоснабжения</w:t>
      </w:r>
      <w:proofErr w:type="spellEnd"/>
      <w:r>
        <w:t>.</w:t>
      </w:r>
    </w:p>
    <w:p w:rsidR="00000000" w:rsidRDefault="00C173CC">
      <w:pPr>
        <w:ind w:firstLine="284"/>
        <w:jc w:val="both"/>
      </w:pPr>
      <w:r>
        <w:t>Для этих целей объекты оснащаются датчиками и управляемыми исполнительными механизмами, а также аппаратурой сбора и передачи данных от контролируемых объектов на диспетчерский пункт, оснащенный компьютером с соответствующими программными средствами (АРМ-диспетчера).</w:t>
      </w:r>
    </w:p>
    <w:p w:rsidR="00000000" w:rsidRDefault="00C173CC">
      <w:pPr>
        <w:ind w:firstLine="284"/>
        <w:jc w:val="both"/>
      </w:pPr>
      <w:r>
        <w:t>Виды и количество датчиков и исполнительных механизмов зависят от состава и технических характеристик объектов.</w:t>
      </w:r>
    </w:p>
    <w:p w:rsidR="00000000" w:rsidRDefault="00C173CC">
      <w:pPr>
        <w:ind w:firstLine="284"/>
        <w:jc w:val="both"/>
      </w:pPr>
      <w:r>
        <w:t xml:space="preserve">Так, в </w:t>
      </w:r>
      <w:proofErr w:type="spellStart"/>
      <w:r>
        <w:t>АСДКУ</w:t>
      </w:r>
      <w:proofErr w:type="spellEnd"/>
      <w:r>
        <w:t xml:space="preserve"> водоснабжения и</w:t>
      </w:r>
      <w:r>
        <w:t xml:space="preserve"> канализации по насосным станциям контролируются давления и расходы воды, расходы электроэнергии, состояние насосов и задвижек, а также уровни воды в резервуарах.</w:t>
      </w:r>
    </w:p>
    <w:p w:rsidR="00000000" w:rsidRDefault="00C173CC">
      <w:pPr>
        <w:ind w:firstLine="284"/>
        <w:jc w:val="both"/>
      </w:pPr>
      <w:r>
        <w:t>По очистным сооружениям контролируется качество природной и питьевой воды, а также качественный состав сточных вод до и после очистки.</w:t>
      </w:r>
    </w:p>
    <w:p w:rsidR="00000000" w:rsidRDefault="00C173CC">
      <w:pPr>
        <w:ind w:firstLine="284"/>
        <w:jc w:val="both"/>
      </w:pPr>
      <w:r>
        <w:t xml:space="preserve">В </w:t>
      </w:r>
      <w:proofErr w:type="spellStart"/>
      <w:r>
        <w:t>АСДКУ</w:t>
      </w:r>
      <w:proofErr w:type="spellEnd"/>
      <w:r>
        <w:t xml:space="preserve"> теплоснабжения контролируется расход, температура и давление теплоносителя на выходе котельной, расход </w:t>
      </w:r>
      <w:proofErr w:type="spellStart"/>
      <w:r>
        <w:t>подпиточной</w:t>
      </w:r>
      <w:proofErr w:type="spellEnd"/>
      <w:r>
        <w:t xml:space="preserve"> воды, состояние котлов и насосов, расход топлива. Контролируются также основные параметры п</w:t>
      </w:r>
      <w:r>
        <w:t xml:space="preserve">о тепловым камерам, </w:t>
      </w:r>
      <w:proofErr w:type="spellStart"/>
      <w:r>
        <w:t>ЦТП</w:t>
      </w:r>
      <w:proofErr w:type="spellEnd"/>
      <w:r>
        <w:t xml:space="preserve"> и насосным станциям.</w:t>
      </w:r>
    </w:p>
    <w:p w:rsidR="00000000" w:rsidRDefault="00C173CC">
      <w:pPr>
        <w:ind w:firstLine="284"/>
        <w:jc w:val="both"/>
      </w:pPr>
      <w:proofErr w:type="spellStart"/>
      <w:r>
        <w:t>АСДКУ</w:t>
      </w:r>
      <w:proofErr w:type="spellEnd"/>
      <w:r>
        <w:t xml:space="preserve"> жилищного фонда создаются для контроля за работой инженерного оборудования зданий. Центром такой системы является объединенный диспетчерский пункт (</w:t>
      </w:r>
      <w:proofErr w:type="spellStart"/>
      <w:r>
        <w:t>ОДС</w:t>
      </w:r>
      <w:proofErr w:type="spellEnd"/>
      <w:r>
        <w:t xml:space="preserve">) микрорайона. Сюда по каналам связи (телефонным линиям, </w:t>
      </w:r>
      <w:proofErr w:type="spellStart"/>
      <w:r>
        <w:t>УКВ-радиосвязи</w:t>
      </w:r>
      <w:proofErr w:type="spellEnd"/>
      <w:r>
        <w:t>, оптоволоконным каналам) поступает информация от инженерного оборудования каждого из контролируемых зданий.</w:t>
      </w:r>
    </w:p>
    <w:p w:rsidR="00000000" w:rsidRDefault="00C173CC">
      <w:pPr>
        <w:ind w:firstLine="284"/>
        <w:jc w:val="both"/>
      </w:pPr>
      <w:r>
        <w:t xml:space="preserve">Для дистанционной передачи, данных используются микропроцессорные телекомплексы. В </w:t>
      </w:r>
      <w:proofErr w:type="spellStart"/>
      <w:r>
        <w:t>ОДС</w:t>
      </w:r>
      <w:proofErr w:type="spellEnd"/>
      <w:r>
        <w:t xml:space="preserve"> устанавливается компьютер, а в зданиях - ми</w:t>
      </w:r>
      <w:r>
        <w:t>кропроцессорные контроллеры.</w:t>
      </w:r>
    </w:p>
    <w:p w:rsidR="00000000" w:rsidRDefault="00C173CC">
      <w:pPr>
        <w:ind w:firstLine="284"/>
        <w:jc w:val="both"/>
      </w:pPr>
      <w:r>
        <w:t xml:space="preserve">В </w:t>
      </w:r>
      <w:proofErr w:type="spellStart"/>
      <w:r>
        <w:t>АСДКУ</w:t>
      </w:r>
      <w:proofErr w:type="spellEnd"/>
      <w:r>
        <w:t xml:space="preserve"> жилищного фонда контролируется работа лифтового хозяйства, охранная сигнализация (доступ в подвалы, чердаки и др.) и затопление подвалов, а также производится учет и анализ расхода тепла на отопление, расхода и температуры горячей воды, расхода холодной воды. Контролируются также давления теплоносителя и воды, расход и напряжение электроэнергии, выявляются причины аварий.</w:t>
      </w:r>
    </w:p>
    <w:p w:rsidR="00000000" w:rsidRDefault="00C173CC">
      <w:pPr>
        <w:ind w:firstLine="284"/>
        <w:jc w:val="both"/>
      </w:pPr>
      <w:r>
        <w:t xml:space="preserve">Важной функцией </w:t>
      </w:r>
      <w:proofErr w:type="spellStart"/>
      <w:r>
        <w:t>АСДКУ</w:t>
      </w:r>
      <w:proofErr w:type="spellEnd"/>
      <w:r>
        <w:t xml:space="preserve"> является учет аварий и повреждений, контроль и учет аварий и повреждений, конт</w:t>
      </w:r>
      <w:r>
        <w:t>роль и учет выполнения ремонтных работ по заявкам жильцов.</w:t>
      </w:r>
    </w:p>
    <w:p w:rsidR="00000000" w:rsidRDefault="00C173CC">
      <w:pPr>
        <w:ind w:firstLine="284"/>
        <w:jc w:val="both"/>
      </w:pPr>
      <w:r>
        <w:t xml:space="preserve">По имеющемуся опыту создание </w:t>
      </w:r>
      <w:proofErr w:type="spellStart"/>
      <w:r>
        <w:t>АСДКУ</w:t>
      </w:r>
      <w:proofErr w:type="spellEnd"/>
      <w:r>
        <w:t xml:space="preserve"> предприятий водоснабжения, теплоснабжения и жилищного фонда позволяет значительно повысить оперативность контроля и управления объектами, снизить на 15 - 20% потребление энергетических ресурсов, уменьшить на 10 - 20% потери воды, сократить в 1,5 - 2,0 раза число аварий при существенном ускорении сроков их обнаружения и ликвидации.</w:t>
      </w:r>
    </w:p>
    <w:p w:rsidR="00000000" w:rsidRDefault="00C173CC">
      <w:pPr>
        <w:ind w:firstLine="284"/>
        <w:jc w:val="both"/>
      </w:pPr>
      <w:r>
        <w:t xml:space="preserve">Затраты на создание </w:t>
      </w:r>
      <w:proofErr w:type="spellStart"/>
      <w:r>
        <w:t>АСДКУ</w:t>
      </w:r>
      <w:proofErr w:type="spellEnd"/>
      <w:r>
        <w:t xml:space="preserve"> окупаются, как правило, за срок до 2-х лет.</w:t>
      </w:r>
    </w:p>
    <w:p w:rsidR="00000000" w:rsidRDefault="00C173CC">
      <w:pPr>
        <w:ind w:firstLine="284"/>
        <w:jc w:val="both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ОРГАНИЗАЦИЯ</w:t>
      </w:r>
      <w:r>
        <w:rPr>
          <w:rFonts w:ascii="Times New Roman" w:hAnsi="Times New Roman"/>
          <w:sz w:val="20"/>
        </w:rPr>
        <w:t xml:space="preserve"> РАБОТ И ИХ ФИНАНСИРОВАНИЕ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 xml:space="preserve">Работы по внедрению мероприятий по энергоресурсосбережению выполняются предприятиями </w:t>
      </w:r>
      <w:proofErr w:type="spellStart"/>
      <w:r>
        <w:t>тепловодоснабжения</w:t>
      </w:r>
      <w:proofErr w:type="spellEnd"/>
      <w:r>
        <w:t xml:space="preserve"> городов с участием специализированных организаций.</w:t>
      </w:r>
    </w:p>
    <w:p w:rsidR="00000000" w:rsidRDefault="00C173CC">
      <w:pPr>
        <w:ind w:firstLine="284"/>
        <w:jc w:val="both"/>
      </w:pPr>
      <w:r>
        <w:t>Так, работы по повышению пропускной способности инженерных сетей отопления, горячего и холодного водоснабжения зданий, промывке бойлеров и котлов выполняются, как правило, силами организаций - поставщиков оборудования для прочистки и промывки совместно с работниками предприятия теплоснабжения и организации жилищного хозяйства (</w:t>
      </w:r>
      <w:r>
        <w:t>для зданий).</w:t>
      </w:r>
    </w:p>
    <w:p w:rsidR="00000000" w:rsidRDefault="00C173CC">
      <w:pPr>
        <w:ind w:firstLine="284"/>
        <w:jc w:val="both"/>
      </w:pPr>
      <w:r>
        <w:t>Наладка режимов работы систем теплоснабжения и водоснабжения выполняется специализированными наладочными организациями с участием работников предприятий теплоснабжения и водоснабжения.</w:t>
      </w:r>
    </w:p>
    <w:p w:rsidR="00000000" w:rsidRDefault="00C173CC">
      <w:pPr>
        <w:ind w:firstLine="284"/>
        <w:jc w:val="both"/>
      </w:pPr>
      <w:r>
        <w:t xml:space="preserve">Создание систем учета и регулирования расхода тепла и воды должно осуществляться специализированными организациями, имеющими соответствующие лицензии </w:t>
      </w:r>
      <w:proofErr w:type="spellStart"/>
      <w:r>
        <w:t>Главгосэнергонадзора</w:t>
      </w:r>
      <w:proofErr w:type="spellEnd"/>
      <w:r>
        <w:t>.</w:t>
      </w:r>
    </w:p>
    <w:p w:rsidR="00000000" w:rsidRDefault="00C173CC">
      <w:pPr>
        <w:ind w:firstLine="284"/>
        <w:jc w:val="both"/>
      </w:pPr>
      <w:r>
        <w:t xml:space="preserve">Дополнительно к лицензии организация должна иметь </w:t>
      </w:r>
      <w:proofErr w:type="spellStart"/>
      <w:r>
        <w:t>аккредитационное</w:t>
      </w:r>
      <w:proofErr w:type="spellEnd"/>
      <w:r>
        <w:t xml:space="preserve"> свидетельство Госстроя России, удостоверяющие надлежащее качество работ по </w:t>
      </w:r>
      <w:r>
        <w:t>установке приборов учета и регулирования, а также их техническое сопровождение в процессе эксплуатации.</w:t>
      </w:r>
    </w:p>
    <w:p w:rsidR="00000000" w:rsidRDefault="00C173CC">
      <w:pPr>
        <w:ind w:firstLine="284"/>
        <w:jc w:val="both"/>
      </w:pPr>
      <w:r>
        <w:t>В качестве организаций - исполнителей работ в каждом регионе выступают Центры энергосбережения. Такие центры сегодня имеются во многих субъектах Российской Федерации.</w:t>
      </w:r>
    </w:p>
    <w:p w:rsidR="00000000" w:rsidRDefault="00C173CC">
      <w:pPr>
        <w:ind w:firstLine="284"/>
        <w:jc w:val="both"/>
      </w:pPr>
      <w:r>
        <w:t>Наряду с этим исполнителями работ по энергоресурсосбережению служат специализированные организации и фирмы, которые, как правило, являются производителями или распространителями аппаратуры.</w:t>
      </w:r>
    </w:p>
    <w:p w:rsidR="00000000" w:rsidRDefault="00C173CC">
      <w:pPr>
        <w:ind w:firstLine="284"/>
        <w:jc w:val="both"/>
      </w:pPr>
      <w:r>
        <w:t>Научно-методическое руководство работами по экономи</w:t>
      </w:r>
      <w:r>
        <w:t xml:space="preserve">и энергоресурсов и воды осуществляется Федеральным Центром энергоресурсосбережения в </w:t>
      </w:r>
      <w:proofErr w:type="spellStart"/>
      <w:r>
        <w:t>ЖКХ</w:t>
      </w:r>
      <w:proofErr w:type="spellEnd"/>
      <w:r>
        <w:t xml:space="preserve">, созданного Госстроем России при Академии коммунального хозяйства им. К.Д. Памфилова. Федеральный Центр имеет ряд региональных отделений (Тульский, Томский, Ростовский, </w:t>
      </w:r>
      <w:proofErr w:type="spellStart"/>
      <w:r>
        <w:t>Северо-Западный</w:t>
      </w:r>
      <w:proofErr w:type="spellEnd"/>
      <w:r>
        <w:t xml:space="preserve"> и др.) и взаимодействует с действующими Центрами энергосбережения регионов (Краснодарским, Курским, Саратовским и др.).</w:t>
      </w:r>
    </w:p>
    <w:p w:rsidR="00000000" w:rsidRDefault="00C173CC">
      <w:pPr>
        <w:ind w:firstLine="284"/>
        <w:jc w:val="both"/>
      </w:pPr>
      <w:r>
        <w:t>Одной из главных проблем энергоресурсосбережения является финансирование этих работ. Из-за кризисного состояния эконом</w:t>
      </w:r>
      <w:r>
        <w:t>ики реализация программ энергоресурсосбережения сдерживается нехваткой финансовых средств.</w:t>
      </w:r>
    </w:p>
    <w:p w:rsidR="00000000" w:rsidRDefault="00C173CC">
      <w:pPr>
        <w:ind w:firstLine="284"/>
        <w:jc w:val="both"/>
      </w:pPr>
      <w:r>
        <w:t xml:space="preserve">Пути финансирования энергоресурсосбережения в </w:t>
      </w:r>
      <w:proofErr w:type="spellStart"/>
      <w:r>
        <w:t>ЖКХ</w:t>
      </w:r>
      <w:proofErr w:type="spellEnd"/>
      <w:r>
        <w:t xml:space="preserve"> определены в разработанном Академией коммунального хозяйства по заданию Госстроя России документе "Основные направления и механизм энергоресурсосбережения в жилищно-коммунальном хозяйстве Российской Федерации", одобренном решением Правительственной Комиссии по реформированию </w:t>
      </w:r>
      <w:proofErr w:type="spellStart"/>
      <w:r>
        <w:t>ЖКХ</w:t>
      </w:r>
      <w:proofErr w:type="spellEnd"/>
      <w:r>
        <w:t xml:space="preserve"> Российской Федерации (протокол от 29 марта 1998г. № 3).</w:t>
      </w:r>
    </w:p>
    <w:p w:rsidR="00000000" w:rsidRDefault="00C173CC">
      <w:pPr>
        <w:ind w:firstLine="284"/>
        <w:jc w:val="both"/>
      </w:pPr>
      <w:r>
        <w:t>Наиболее реальными источниками фина</w:t>
      </w:r>
      <w:r>
        <w:t>нсирования являются:</w:t>
      </w:r>
    </w:p>
    <w:p w:rsidR="00000000" w:rsidRDefault="00C173CC">
      <w:pPr>
        <w:ind w:firstLine="284"/>
        <w:jc w:val="both"/>
      </w:pPr>
      <w:r>
        <w:t>- бюджетные средства на функционирование и развитие жилищно-коммунального хозяйства;</w:t>
      </w:r>
    </w:p>
    <w:p w:rsidR="00000000" w:rsidRDefault="00C173CC">
      <w:pPr>
        <w:ind w:firstLine="284"/>
        <w:jc w:val="both"/>
      </w:pPr>
      <w:r>
        <w:t xml:space="preserve">- средства организаций </w:t>
      </w:r>
      <w:proofErr w:type="spellStart"/>
      <w:r>
        <w:t>тепловодоснабжения</w:t>
      </w:r>
      <w:proofErr w:type="spellEnd"/>
      <w:r>
        <w:t>;</w:t>
      </w:r>
    </w:p>
    <w:p w:rsidR="00000000" w:rsidRDefault="00C173CC">
      <w:pPr>
        <w:ind w:firstLine="284"/>
        <w:jc w:val="both"/>
      </w:pPr>
      <w:r>
        <w:t>- займы, получаемые от кредитных организаций.</w:t>
      </w:r>
    </w:p>
    <w:p w:rsidR="00000000" w:rsidRDefault="00C173CC">
      <w:pPr>
        <w:ind w:firstLine="284"/>
        <w:jc w:val="both"/>
      </w:pPr>
      <w:r>
        <w:t>В целях обеспечения реального финансирования затраты на энергоресурсосбережения включаются отдельной строкой в местные бюджеты.</w:t>
      </w:r>
    </w:p>
    <w:p w:rsidR="00000000" w:rsidRDefault="00C173CC">
      <w:pPr>
        <w:ind w:firstLine="284"/>
        <w:jc w:val="both"/>
      </w:pPr>
      <w:r>
        <w:t>Важным фактором обеспечения работ является создание в регионах специализированных внебюджетных фондов энергоресурсосбережения.</w:t>
      </w:r>
    </w:p>
    <w:p w:rsidR="00000000" w:rsidRDefault="00C173CC">
      <w:pPr>
        <w:ind w:firstLine="284"/>
        <w:jc w:val="both"/>
      </w:pPr>
      <w:r>
        <w:t>Такие фонды уже созданы более чем в 16 регионах.</w:t>
      </w:r>
    </w:p>
    <w:p w:rsidR="00000000" w:rsidRDefault="00C173CC">
      <w:pPr>
        <w:ind w:firstLine="284"/>
        <w:jc w:val="both"/>
      </w:pPr>
      <w:r>
        <w:t>Перспективным</w:t>
      </w:r>
      <w:r>
        <w:t xml:space="preserve">и направлениями организации финансового обеспечения служат принимаемые в регионах законодательные акты, стимулирующие инвестиции в </w:t>
      </w:r>
      <w:proofErr w:type="spellStart"/>
      <w:r>
        <w:t>энергоресурсосбережении</w:t>
      </w:r>
      <w:proofErr w:type="spellEnd"/>
      <w:r>
        <w:t xml:space="preserve"> за счет налоговых льгот.</w:t>
      </w:r>
    </w:p>
    <w:p w:rsidR="00000000" w:rsidRDefault="00C173CC">
      <w:pPr>
        <w:ind w:firstLine="284"/>
        <w:jc w:val="both"/>
      </w:pPr>
      <w:r>
        <w:t>Одним из важных путей финансирования работ по созданию систем учета и регулирования расхода тепла и воды, а также других мероприятий по энергоресурсосбережению является схема, предусматривающая гарантированную оплату этих работ за счет получаемой экономии.</w:t>
      </w:r>
    </w:p>
    <w:p w:rsidR="00000000" w:rsidRDefault="00C173CC">
      <w:pPr>
        <w:ind w:firstLine="284"/>
        <w:jc w:val="both"/>
      </w:pPr>
      <w:r>
        <w:t>При этом организация - исполнитель выполняет работы и гарантирует получение</w:t>
      </w:r>
      <w:r>
        <w:t xml:space="preserve"> определенной экономии (при сохранении действующих тарифов), а организация - заказчик гарантирует оплату этих работ в течение оговоренного периода времени из средств получаемой экономии.</w:t>
      </w:r>
    </w:p>
    <w:p w:rsidR="00000000" w:rsidRDefault="00C173CC">
      <w:pPr>
        <w:ind w:firstLine="284"/>
        <w:jc w:val="both"/>
      </w:pPr>
      <w:r>
        <w:t xml:space="preserve">Реальность данной схемы финансирования должна быть подкреплена соответствующим нормативно-правовым актом местной Администрации, позволяющим оставлять в распоряжении заказчика (организации </w:t>
      </w:r>
      <w:proofErr w:type="spellStart"/>
      <w:r>
        <w:t>ЖКХ</w:t>
      </w:r>
      <w:proofErr w:type="spellEnd"/>
      <w:r>
        <w:t>) получаемую в результате энергоресурсосбережения экономию на срок этих мероприятий плюс 1 год.</w:t>
      </w:r>
    </w:p>
    <w:p w:rsidR="00000000" w:rsidRDefault="00C173CC">
      <w:pPr>
        <w:ind w:firstLine="284"/>
        <w:jc w:val="both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НАУЧНО-МЕТОДИЧЕСКОЕ И ПРАВОВОЕ ОБЕ</w:t>
      </w:r>
      <w:r>
        <w:rPr>
          <w:rFonts w:ascii="Times New Roman" w:hAnsi="Times New Roman"/>
          <w:sz w:val="20"/>
        </w:rPr>
        <w:t>СПЕЧЕНИЕ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Работы по энергоресурсосбережению в жилищно-коммунальном хозяйстве основываются на следующих правовых документах:</w:t>
      </w:r>
    </w:p>
    <w:p w:rsidR="00000000" w:rsidRDefault="00C173CC">
      <w:pPr>
        <w:ind w:firstLine="284"/>
        <w:jc w:val="both"/>
      </w:pPr>
      <w:r>
        <w:t>- Федеральный Закон "Об энергосбережении" от 03.04.96 г. № 28-ФЗ;</w:t>
      </w:r>
    </w:p>
    <w:p w:rsidR="00000000" w:rsidRDefault="00C173CC">
      <w:pPr>
        <w:ind w:firstLine="284"/>
        <w:jc w:val="both"/>
      </w:pPr>
      <w:r>
        <w:t>- Федеральная целевая программа "Энергосбережение России" на 1998 - 2005 гг. с подпрограммой "Энергосбережение в жилищно-коммунальном хозяйстве", утвержденная Постановлением Правительства РФ от 24 01.1998 г;</w:t>
      </w:r>
    </w:p>
    <w:p w:rsidR="00000000" w:rsidRDefault="00C173CC">
      <w:pPr>
        <w:ind w:firstLine="284"/>
        <w:jc w:val="both"/>
      </w:pPr>
      <w:r>
        <w:t>- Постановление Правительства РФ от 15.06.98г "О дополнительных мерах по стимулированию энергосбережения в России"</w:t>
      </w:r>
      <w:r>
        <w:t>;</w:t>
      </w:r>
    </w:p>
    <w:p w:rsidR="00000000" w:rsidRDefault="00C173CC">
      <w:pPr>
        <w:ind w:firstLine="284"/>
        <w:jc w:val="both"/>
      </w:pPr>
      <w:r>
        <w:t>- Постановление Правительства РФ № 832 от 08.07.97г. "О повышении эффективности использования энергетических ресурсов и воды предприятиями, организациями бюджетной сферы";</w:t>
      </w:r>
    </w:p>
    <w:p w:rsidR="00000000" w:rsidRDefault="00C173CC">
      <w:pPr>
        <w:ind w:firstLine="284"/>
        <w:jc w:val="both"/>
      </w:pPr>
      <w:r>
        <w:t>- Приказ Госстроя России № 17-76 от 16.09.97 г. "О Федеральном Центре энергоресурсосбережения в жилищно-коммунальном хозяйстве Госстроя России";</w:t>
      </w:r>
    </w:p>
    <w:p w:rsidR="00000000" w:rsidRDefault="00C173CC">
      <w:pPr>
        <w:ind w:firstLine="284"/>
        <w:jc w:val="both"/>
      </w:pPr>
      <w:r>
        <w:t>- Законодательные акты субъектов РФ и др.</w:t>
      </w:r>
    </w:p>
    <w:p w:rsidR="00000000" w:rsidRDefault="00C173CC">
      <w:pPr>
        <w:ind w:firstLine="284"/>
        <w:jc w:val="both"/>
      </w:pPr>
      <w:r>
        <w:t>Методической основой работ по энергоресурсосбережению служат разработанные Академией коммунального хозяйства по заданию Госстроя России документы:</w:t>
      </w:r>
    </w:p>
    <w:p w:rsidR="00000000" w:rsidRDefault="00C173CC">
      <w:pPr>
        <w:ind w:firstLine="284"/>
        <w:jc w:val="both"/>
      </w:pPr>
      <w:r>
        <w:t>- Ос</w:t>
      </w:r>
      <w:r>
        <w:t xml:space="preserve">новные направления и механизм энергоресурсосбережения в </w:t>
      </w:r>
      <w:proofErr w:type="spellStart"/>
      <w:r>
        <w:t>ЖКХ</w:t>
      </w:r>
      <w:proofErr w:type="spellEnd"/>
      <w:r>
        <w:t xml:space="preserve"> Российской Федерации;</w:t>
      </w:r>
    </w:p>
    <w:p w:rsidR="00000000" w:rsidRDefault="00C173CC">
      <w:pPr>
        <w:ind w:firstLine="284"/>
        <w:jc w:val="both"/>
      </w:pPr>
      <w:r>
        <w:t>- Рекомендации по выбору, установке и эксплуатации приборов учета тепловой энергии, горячей и холодной воды для энергоресурсосбережения в жилищно-коммунальной сфере;</w:t>
      </w:r>
    </w:p>
    <w:p w:rsidR="00000000" w:rsidRDefault="00C173CC">
      <w:pPr>
        <w:ind w:firstLine="284"/>
        <w:jc w:val="both"/>
      </w:pPr>
      <w:r>
        <w:t xml:space="preserve">- Рекомендации по проведению </w:t>
      </w:r>
      <w:proofErr w:type="spellStart"/>
      <w:r>
        <w:t>энергоресурсоаудита</w:t>
      </w:r>
      <w:proofErr w:type="spellEnd"/>
      <w:r>
        <w:t xml:space="preserve"> на объектах </w:t>
      </w:r>
      <w:proofErr w:type="spellStart"/>
      <w:r>
        <w:t>ЖКХ</w:t>
      </w:r>
      <w:proofErr w:type="spellEnd"/>
      <w:r>
        <w:t>;</w:t>
      </w:r>
    </w:p>
    <w:p w:rsidR="00000000" w:rsidRDefault="00C173CC">
      <w:pPr>
        <w:ind w:firstLine="284"/>
        <w:jc w:val="both"/>
      </w:pPr>
      <w:r>
        <w:t xml:space="preserve">- Правила оплаты расходов горячей и холодной воды по показаниям квартирных </w:t>
      </w:r>
      <w:proofErr w:type="spellStart"/>
      <w:r>
        <w:t>водосчетчиков</w:t>
      </w:r>
      <w:proofErr w:type="spellEnd"/>
      <w:r>
        <w:t>.</w:t>
      </w:r>
    </w:p>
    <w:p w:rsidR="00000000" w:rsidRDefault="00C173CC">
      <w:pPr>
        <w:ind w:firstLine="284"/>
        <w:jc w:val="center"/>
      </w:pPr>
    </w:p>
    <w:p w:rsidR="00000000" w:rsidRDefault="00C173C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ИНФОРМАЦИОННОЕ И КАДРОВОЕ ОБЕСПЕЧЕНИЕ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  <w:r>
        <w:t>В целях повышения технического уровня работ по энергоресурсосбере</w:t>
      </w:r>
      <w:r>
        <w:t xml:space="preserve">жению в </w:t>
      </w:r>
      <w:proofErr w:type="spellStart"/>
      <w:r>
        <w:t>ЖКХ</w:t>
      </w:r>
      <w:proofErr w:type="spellEnd"/>
      <w:r>
        <w:t xml:space="preserve"> и быстрейшего освоения передового опыта необходимо регулярное (не менее 1 раза в год) проведение в регионах конференций, научно-практических семинаров и выставок по проблемам экономии энергоресурсов и воды.</w:t>
      </w:r>
    </w:p>
    <w:p w:rsidR="00000000" w:rsidRDefault="00C173CC">
      <w:pPr>
        <w:ind w:firstLine="284"/>
        <w:jc w:val="both"/>
      </w:pPr>
      <w:r>
        <w:t xml:space="preserve">Целесообразно активное участие работников </w:t>
      </w:r>
      <w:proofErr w:type="spellStart"/>
      <w:r>
        <w:t>ЖКХ</w:t>
      </w:r>
      <w:proofErr w:type="spellEnd"/>
      <w:r>
        <w:t xml:space="preserve"> в проводимых Госстроем России общероссийских и зональных семинарах-совещаниях по данной тематике, а также организуемых с участием Госстроя России аналогичных мероприятий на </w:t>
      </w:r>
      <w:proofErr w:type="spellStart"/>
      <w:r>
        <w:t>ВВЦ</w:t>
      </w:r>
      <w:proofErr w:type="spellEnd"/>
      <w:r>
        <w:t>, выставочных центрах "Красная Пресня", "Сокольники" и др.</w:t>
      </w:r>
    </w:p>
    <w:p w:rsidR="00000000" w:rsidRDefault="00C173CC">
      <w:pPr>
        <w:ind w:firstLine="284"/>
        <w:jc w:val="both"/>
      </w:pPr>
      <w:r>
        <w:t>Для повышени</w:t>
      </w:r>
      <w:r>
        <w:t xml:space="preserve">я квалификации работников </w:t>
      </w:r>
      <w:proofErr w:type="spellStart"/>
      <w:r>
        <w:t>ЖКХ</w:t>
      </w:r>
      <w:proofErr w:type="spellEnd"/>
      <w:r>
        <w:t xml:space="preserve"> в области энергоресурсосбережения следует использовать учебные семинары (с выдачей квалификационных сертификатов), проводимые Академией коммунального хозяйства и рядом других организаций.</w:t>
      </w:r>
    </w:p>
    <w:p w:rsidR="00000000" w:rsidRDefault="00C173CC">
      <w:pPr>
        <w:ind w:firstLine="284"/>
        <w:jc w:val="both"/>
      </w:pPr>
      <w:r>
        <w:t>Информация по актуальным проблемам экономии тепла, воды и других ресурсов содержится в следующих периодических изданиях:</w:t>
      </w:r>
    </w:p>
    <w:p w:rsidR="00000000" w:rsidRDefault="00C173CC">
      <w:pPr>
        <w:ind w:firstLine="284"/>
        <w:jc w:val="both"/>
      </w:pPr>
      <w:r>
        <w:t>- "Жилищное и коммунальное хозяйство";</w:t>
      </w:r>
    </w:p>
    <w:p w:rsidR="00000000" w:rsidRDefault="00C173CC">
      <w:pPr>
        <w:ind w:firstLine="284"/>
        <w:jc w:val="both"/>
      </w:pPr>
      <w:r>
        <w:t>- "Энергосбережение";</w:t>
      </w:r>
    </w:p>
    <w:p w:rsidR="00000000" w:rsidRDefault="00C173CC">
      <w:pPr>
        <w:ind w:firstLine="284"/>
        <w:jc w:val="both"/>
      </w:pPr>
      <w:r>
        <w:t>- "</w:t>
      </w:r>
      <w:proofErr w:type="spellStart"/>
      <w:r>
        <w:t>АВОК</w:t>
      </w:r>
      <w:proofErr w:type="spellEnd"/>
      <w:r>
        <w:t>" и др.</w:t>
      </w:r>
    </w:p>
    <w:p w:rsidR="00000000" w:rsidRDefault="00C173CC">
      <w:pPr>
        <w:ind w:firstLine="284"/>
        <w:jc w:val="both"/>
      </w:pPr>
      <w:r>
        <w:t>- "Известия Академии жилищно-коммунального хозяйства".</w:t>
      </w:r>
    </w:p>
    <w:p w:rsidR="00000000" w:rsidRDefault="00C173CC">
      <w:pPr>
        <w:ind w:firstLine="284"/>
        <w:jc w:val="both"/>
      </w:pPr>
    </w:p>
    <w:p w:rsidR="00000000" w:rsidRDefault="00C173CC">
      <w:pPr>
        <w:ind w:firstLine="284"/>
        <w:jc w:val="both"/>
      </w:pPr>
    </w:p>
    <w:p w:rsidR="00000000" w:rsidRDefault="00C173CC">
      <w:pPr>
        <w:jc w:val="center"/>
        <w:rPr>
          <w:b/>
          <w:sz w:val="18"/>
        </w:rPr>
      </w:pPr>
      <w:r>
        <w:rPr>
          <w:b/>
          <w:sz w:val="18"/>
        </w:rPr>
        <w:t>СОДЕРЖАНИЕ</w:t>
      </w:r>
    </w:p>
    <w:p w:rsidR="00000000" w:rsidRDefault="00C173CC">
      <w:pPr>
        <w:ind w:firstLine="284"/>
        <w:jc w:val="both"/>
      </w:pPr>
      <w:r>
        <w:t xml:space="preserve">1. Введение </w:t>
      </w:r>
    </w:p>
    <w:p w:rsidR="00000000" w:rsidRDefault="00C173CC">
      <w:pPr>
        <w:ind w:firstLine="284"/>
        <w:jc w:val="both"/>
      </w:pPr>
      <w:r>
        <w:t>2. Основные напр</w:t>
      </w:r>
      <w:r>
        <w:t xml:space="preserve">авления работ по энергоресурсосбережению в </w:t>
      </w:r>
      <w:proofErr w:type="spellStart"/>
      <w:r>
        <w:t>ЖКХ</w:t>
      </w:r>
      <w:proofErr w:type="spellEnd"/>
      <w:r>
        <w:t xml:space="preserve"> </w:t>
      </w:r>
    </w:p>
    <w:p w:rsidR="00000000" w:rsidRDefault="00C173CC">
      <w:pPr>
        <w:ind w:firstLine="284"/>
        <w:jc w:val="both"/>
      </w:pPr>
      <w:r>
        <w:t xml:space="preserve">2.1. Долгосрочные </w:t>
      </w:r>
      <w:proofErr w:type="spellStart"/>
      <w:r>
        <w:t>высокозатратные</w:t>
      </w:r>
      <w:proofErr w:type="spellEnd"/>
      <w:r>
        <w:t xml:space="preserve"> мероприятия </w:t>
      </w:r>
    </w:p>
    <w:p w:rsidR="00000000" w:rsidRDefault="00C173CC">
      <w:pPr>
        <w:ind w:firstLine="284"/>
        <w:jc w:val="both"/>
      </w:pPr>
      <w:r>
        <w:t xml:space="preserve">2.2. </w:t>
      </w:r>
      <w:proofErr w:type="spellStart"/>
      <w:r>
        <w:t>Среднезатратные</w:t>
      </w:r>
      <w:proofErr w:type="spellEnd"/>
      <w:r>
        <w:t xml:space="preserve"> мероприятия</w:t>
      </w:r>
    </w:p>
    <w:p w:rsidR="00000000" w:rsidRDefault="00C173CC">
      <w:pPr>
        <w:ind w:firstLine="284"/>
        <w:jc w:val="both"/>
      </w:pPr>
      <w:r>
        <w:t xml:space="preserve">2.3. Первоочередные </w:t>
      </w:r>
      <w:proofErr w:type="spellStart"/>
      <w:r>
        <w:t>малозатратные</w:t>
      </w:r>
      <w:proofErr w:type="spellEnd"/>
      <w:r>
        <w:t xml:space="preserve"> мероприятия </w:t>
      </w:r>
    </w:p>
    <w:p w:rsidR="00000000" w:rsidRDefault="00C173CC">
      <w:pPr>
        <w:ind w:firstLine="284"/>
        <w:jc w:val="both"/>
      </w:pPr>
      <w:r>
        <w:t>2.3.1. Организационные мероприятия</w:t>
      </w:r>
    </w:p>
    <w:p w:rsidR="00000000" w:rsidRDefault="00C173CC">
      <w:pPr>
        <w:ind w:firstLine="284"/>
        <w:jc w:val="both"/>
      </w:pPr>
      <w:r>
        <w:t xml:space="preserve">2.3.2. Повышение надежности и эффективности работы источников тепла </w:t>
      </w:r>
    </w:p>
    <w:p w:rsidR="00000000" w:rsidRDefault="00C173CC">
      <w:pPr>
        <w:ind w:firstLine="284"/>
        <w:jc w:val="both"/>
      </w:pPr>
      <w:r>
        <w:t>2.3.3. Повышение эксплуатационной надежности магистральных и внутриквартальных тепловых сетей</w:t>
      </w:r>
    </w:p>
    <w:p w:rsidR="00000000" w:rsidRDefault="00C173CC">
      <w:pPr>
        <w:ind w:firstLine="284"/>
        <w:jc w:val="both"/>
      </w:pPr>
      <w:r>
        <w:t xml:space="preserve">2.3.4. Экономия энергоресурсов и воды у потребителей </w:t>
      </w:r>
    </w:p>
    <w:p w:rsidR="00000000" w:rsidRDefault="00C173CC">
      <w:pPr>
        <w:ind w:firstLine="284"/>
        <w:jc w:val="both"/>
      </w:pPr>
      <w:r>
        <w:t xml:space="preserve">2.3.5. Установка приборов учета расхода тепла, горячей и холодной воды </w:t>
      </w:r>
    </w:p>
    <w:p w:rsidR="00000000" w:rsidRDefault="00C173CC">
      <w:pPr>
        <w:ind w:firstLine="284"/>
        <w:jc w:val="both"/>
      </w:pPr>
      <w:r>
        <w:t>2.3.6. Автома</w:t>
      </w:r>
      <w:r>
        <w:t xml:space="preserve">тизированные системы диспетчерского контроля и управления </w:t>
      </w:r>
    </w:p>
    <w:p w:rsidR="00000000" w:rsidRDefault="00C173CC">
      <w:pPr>
        <w:ind w:firstLine="284"/>
        <w:jc w:val="both"/>
      </w:pPr>
      <w:r>
        <w:t>3. Организация работ и их финансирование</w:t>
      </w:r>
    </w:p>
    <w:p w:rsidR="00000000" w:rsidRDefault="00C173CC">
      <w:pPr>
        <w:ind w:firstLine="284"/>
        <w:jc w:val="both"/>
      </w:pPr>
      <w:r>
        <w:t>4. Научно-методическое и правовое обеспечение</w:t>
      </w:r>
    </w:p>
    <w:p w:rsidR="00000000" w:rsidRDefault="00C173CC">
      <w:pPr>
        <w:ind w:firstLine="284"/>
        <w:jc w:val="both"/>
      </w:pPr>
      <w:r>
        <w:t xml:space="preserve">5. Информационное и кадровое обеспечение 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3CC"/>
    <w:rsid w:val="00C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7096</Words>
  <Characters>40452</Characters>
  <Application>Microsoft Office Word</Application>
  <DocSecurity>0</DocSecurity>
  <Lines>337</Lines>
  <Paragraphs>94</Paragraphs>
  <ScaleCrop>false</ScaleCrop>
  <Company> </Company>
  <LinksUpToDate>false</LinksUpToDate>
  <CharactersWithSpaces>47454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subject/>
  <dc:creator>CNTI</dc:creator>
  <cp:keywords/>
  <dc:description/>
  <cp:lastModifiedBy>Parhomeiai</cp:lastModifiedBy>
  <cp:revision>2</cp:revision>
  <dcterms:created xsi:type="dcterms:W3CDTF">2013-04-11T11:23:00Z</dcterms:created>
  <dcterms:modified xsi:type="dcterms:W3CDTF">2013-04-11T11:23:00Z</dcterms:modified>
</cp:coreProperties>
</file>