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1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71" w:type="dxa"/>
          </w:tcPr>
          <w:p w:rsidR="00000000" w:rsidRDefault="00956E2E">
            <w:pPr>
              <w:pStyle w:val="Heading"/>
              <w:ind w:firstLine="6"/>
              <w:jc w:val="center"/>
              <w:rPr>
                <w:rFonts w:ascii="Times New Roman" w:hAnsi="Times New Roman"/>
                <w:i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/>
                <w:sz w:val="20"/>
              </w:rPr>
              <w:t>Утверждено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00000" w:rsidRDefault="00956E2E">
            <w:pPr>
              <w:ind w:firstLine="6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РФ</w:t>
            </w:r>
          </w:p>
          <w:p w:rsidR="00000000" w:rsidRDefault="00956E2E">
            <w:pPr>
              <w:ind w:firstLine="6"/>
              <w:jc w:val="center"/>
              <w:rPr>
                <w:i/>
              </w:rPr>
            </w:pPr>
            <w:r>
              <w:rPr>
                <w:i/>
              </w:rPr>
              <w:t>от 11.11.98 г.  № 13</w:t>
            </w:r>
          </w:p>
        </w:tc>
      </w:tr>
    </w:tbl>
    <w:p w:rsidR="00000000" w:rsidRDefault="00956E2E">
      <w:pPr>
        <w:ind w:firstLine="284"/>
        <w:rPr>
          <w:lang w:val="en-US"/>
        </w:rPr>
      </w:pPr>
    </w:p>
    <w:p w:rsidR="00000000" w:rsidRDefault="00956E2E">
      <w:pPr>
        <w:ind w:firstLine="284"/>
      </w:pP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проведении экспертизы экономического обоснования</w:t>
      </w: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тарифов на товары, работы и услуги, учитываемых</w:t>
      </w: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 оплате жилья и коммунальных услуг </w:t>
      </w: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956E2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МДС</w:t>
      </w:r>
      <w:proofErr w:type="spellEnd"/>
      <w:r>
        <w:rPr>
          <w:rFonts w:ascii="Times New Roman" w:hAnsi="Times New Roman"/>
          <w:sz w:val="20"/>
        </w:rPr>
        <w:t xml:space="preserve"> 13-13.2000</w:t>
      </w:r>
    </w:p>
    <w:p w:rsidR="00000000" w:rsidRDefault="00956E2E">
      <w:pPr>
        <w:ind w:firstLine="284"/>
        <w:jc w:val="both"/>
        <w:rPr>
          <w:lang w:val="en-US"/>
        </w:rPr>
      </w:pPr>
    </w:p>
    <w:p w:rsidR="00000000" w:rsidRDefault="00956E2E">
      <w:pPr>
        <w:ind w:firstLine="284"/>
        <w:jc w:val="both"/>
      </w:pPr>
    </w:p>
    <w:p w:rsidR="00000000" w:rsidRDefault="00956E2E">
      <w:pPr>
        <w:ind w:firstLine="284"/>
        <w:jc w:val="both"/>
      </w:pPr>
      <w:r>
        <w:t>1. Настоящее Положение опреде</w:t>
      </w:r>
      <w:r>
        <w:t>ляет порядок проведения экспертизы экономического обоснования тарифов на товары, работы, услуги, учитываемых в оплате жилья и коммунальных услуг при рассмотрении и утверждении соответствующих тарифов федеральными органами исполнительной власти по регулированию естественных монополий, органами исполнительной власти субъектов Российской Федерации и органами местного самоуправления.</w:t>
      </w:r>
    </w:p>
    <w:p w:rsidR="00000000" w:rsidRDefault="00956E2E">
      <w:pPr>
        <w:ind w:firstLine="284"/>
        <w:jc w:val="both"/>
      </w:pPr>
      <w:r>
        <w:t>2. Система требований к проведению экспертизы, установленных настоящим Положением, распространяется на экспертизы, осуществляемые</w:t>
      </w:r>
      <w:r>
        <w:t xml:space="preserve"> в целях:</w:t>
      </w:r>
    </w:p>
    <w:p w:rsidR="00000000" w:rsidRDefault="00956E2E">
      <w:pPr>
        <w:ind w:firstLine="284"/>
        <w:jc w:val="both"/>
      </w:pPr>
      <w:r>
        <w:t>установление достоверности представляемой хозяйствующими субъектами в регулирующие органы финансово-экономической и производственно-технологической информации;</w:t>
      </w:r>
    </w:p>
    <w:p w:rsidR="00000000" w:rsidRDefault="00956E2E">
      <w:pPr>
        <w:ind w:firstLine="284"/>
        <w:jc w:val="both"/>
      </w:pPr>
      <w:r>
        <w:t>защита экономических интересов организаций, оказывающих жилищно-коммунальные услуги, по регулируемым тарифам;</w:t>
      </w:r>
    </w:p>
    <w:p w:rsidR="00000000" w:rsidRDefault="00956E2E">
      <w:pPr>
        <w:ind w:firstLine="284"/>
        <w:jc w:val="both"/>
      </w:pPr>
      <w:r>
        <w:t>выявление неэффективных и необоснованных затрат, включаемых в расчеты тарифов;</w:t>
      </w:r>
    </w:p>
    <w:p w:rsidR="00000000" w:rsidRDefault="00956E2E">
      <w:pPr>
        <w:ind w:firstLine="284"/>
        <w:jc w:val="both"/>
      </w:pPr>
      <w:r>
        <w:t>определение путей снижения производственной себестоимости по регулируемой деятельности;</w:t>
      </w:r>
    </w:p>
    <w:p w:rsidR="00000000" w:rsidRDefault="00956E2E">
      <w:pPr>
        <w:ind w:firstLine="284"/>
        <w:jc w:val="both"/>
      </w:pPr>
      <w:r>
        <w:t>выявление внутренних резервов в целях повышения эффективности про</w:t>
      </w:r>
      <w:r>
        <w:t>изводства, обеспечения ресурсосбережения;</w:t>
      </w:r>
    </w:p>
    <w:p w:rsidR="00000000" w:rsidRDefault="00956E2E">
      <w:pPr>
        <w:ind w:firstLine="284"/>
        <w:jc w:val="both"/>
      </w:pPr>
      <w:r>
        <w:t>усиление контроля за ценами (тарифами) организаций, занимающих монопольное положение в осуществлении регулируемой деятельности;</w:t>
      </w:r>
    </w:p>
    <w:p w:rsidR="00000000" w:rsidRDefault="00956E2E">
      <w:pPr>
        <w:ind w:firstLine="284"/>
        <w:jc w:val="both"/>
      </w:pPr>
      <w:r>
        <w:t>защита экономических интересов населения и других потребителей от монопольного повышения тарифов.</w:t>
      </w:r>
    </w:p>
    <w:p w:rsidR="00000000" w:rsidRDefault="00956E2E">
      <w:pPr>
        <w:ind w:firstLine="284"/>
        <w:jc w:val="both"/>
      </w:pPr>
      <w:r>
        <w:t>3. Для настоящего Положения применяются следующие определения основных понятий:</w:t>
      </w:r>
    </w:p>
    <w:p w:rsidR="00000000" w:rsidRDefault="00956E2E">
      <w:pPr>
        <w:ind w:firstLine="284"/>
        <w:jc w:val="both"/>
      </w:pPr>
      <w:r>
        <w:rPr>
          <w:i/>
        </w:rPr>
        <w:t>Регулируемая деятельность</w:t>
      </w:r>
      <w:r>
        <w:t xml:space="preserve"> - деятельность в сфере производства товаров, работ и услуг жилищно-коммунального назначения, цены (тарифы) на которые регулируются соответ</w:t>
      </w:r>
      <w:r>
        <w:t>ствующими органами государственной власти и местного самоуправления, а именно:</w:t>
      </w:r>
    </w:p>
    <w:p w:rsidR="00000000" w:rsidRDefault="00956E2E">
      <w:pPr>
        <w:ind w:firstLine="284"/>
        <w:jc w:val="both"/>
      </w:pPr>
      <w:r>
        <w:t>деятельность по производству, передаче и распределению электрической и тепловой энергии (мощности), регулируемая в соответствии с Федеральным Законом от 14 апреля 1995 г. №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№ 16, ст. 1316) и постановлением Правительства Российской Федерации от 4 февраля 1997 г. № 121 "Об</w:t>
      </w:r>
      <w:r>
        <w:t xml:space="preserve"> основах ценообразования и порядке государственного регулирования и применения тарифов на электрическую и тепловую энергию" (Собрание законодательства Российской Федерации, 1997, № 7, ст. 855);</w:t>
      </w:r>
    </w:p>
    <w:p w:rsidR="00000000" w:rsidRDefault="00956E2E">
      <w:pPr>
        <w:ind w:firstLine="284"/>
        <w:jc w:val="both"/>
      </w:pPr>
      <w:r>
        <w:t xml:space="preserve">деятельность по газоснабжению, регулируемая в соответствии с постановлением Правительства Российской Федерации от 7 марта 1995 г. № 239 "О мерах по упорядочению государственного регулирования цен (тарифов)" (Собрание законодательства Российской Федерации, 1995, № 11, ст. 997), постановлением Правительства Российской </w:t>
      </w:r>
      <w:r>
        <w:t>Федерации от 15 апреля 1995 г. № 332 "О мерах по упорядочению государственного регулирования цен на газ и сырья для его производства";</w:t>
      </w:r>
    </w:p>
    <w:p w:rsidR="00000000" w:rsidRDefault="00956E2E">
      <w:pPr>
        <w:ind w:firstLine="284"/>
        <w:jc w:val="both"/>
      </w:pPr>
      <w:r>
        <w:t>деятельность по водоснабжению, водоотведению, теплоснабжению, содержанию и ремонту (включая капитальный) жилищного фонда, регулируемая в соответствии с Федеральным Законом от 28 августа 1995 г. № 154-ФЗ "Об общих принципах организации местного самоуправления в Российской Федерации" (Собрание законодательства Российской Федерации. 1995, № 35, ст. 3506) и постановлением Правит</w:t>
      </w:r>
      <w:r>
        <w:t>ельства Российской Федерации от 18 июня 1996 г. № 707 "Об упорядочении системы оплаты жилья и коммунальных услуг" (Собрание законодательства Российской Федерации, 1996, № 26, ст. 3139).</w:t>
      </w:r>
    </w:p>
    <w:p w:rsidR="00000000" w:rsidRDefault="00956E2E">
      <w:pPr>
        <w:ind w:firstLine="284"/>
        <w:jc w:val="both"/>
      </w:pPr>
      <w:r>
        <w:rPr>
          <w:i/>
        </w:rPr>
        <w:lastRenderedPageBreak/>
        <w:t>Тарифы</w:t>
      </w:r>
      <w:r>
        <w:t xml:space="preserve"> - система ценовых ставок, по которым осуществляются расчеты за электрическую и тепловую энергию, газ (сетевой и сжиженный), водоснабжение, водоотведение, содержание и ремонт (включая капитальный) жилищного фонда.</w:t>
      </w:r>
    </w:p>
    <w:p w:rsidR="00000000" w:rsidRDefault="00956E2E">
      <w:pPr>
        <w:ind w:firstLine="284"/>
        <w:jc w:val="both"/>
      </w:pPr>
      <w:r>
        <w:rPr>
          <w:i/>
        </w:rPr>
        <w:t>Тарифная политика</w:t>
      </w:r>
      <w:r>
        <w:t xml:space="preserve"> - порядок формирования тарифов по регулируемой деятельности, установленный федеральными </w:t>
      </w:r>
      <w:r>
        <w:t>органами исполнительной власти по регулированию естественных монополий, органами исполнительной власти субъектов Российской Федерации или органами местного самоуправления.</w:t>
      </w:r>
    </w:p>
    <w:p w:rsidR="00000000" w:rsidRDefault="00956E2E">
      <w:pPr>
        <w:ind w:firstLine="284"/>
        <w:jc w:val="both"/>
      </w:pPr>
      <w:r>
        <w:rPr>
          <w:i/>
        </w:rPr>
        <w:t>Регулирующие органы (органы, осуществляющие регулирование тарифов)</w:t>
      </w:r>
      <w:r>
        <w:t xml:space="preserve"> - органы, в компетенцию которых входит рассмотрение финансово-экономической информации по установлению тарифов с целью дальнейшего их утверждения (Федеральная энергетическая комиссия Российской Федерации, региональные энергетические комиссии, органы исполнительной власти с</w:t>
      </w:r>
      <w:r>
        <w:t>убъектов Российской Федерации, органы местного самоуправления и другие уполномоченные ими органы).</w:t>
      </w:r>
    </w:p>
    <w:p w:rsidR="00000000" w:rsidRDefault="00956E2E">
      <w:pPr>
        <w:ind w:firstLine="284"/>
        <w:jc w:val="both"/>
      </w:pPr>
      <w:r>
        <w:rPr>
          <w:i/>
        </w:rPr>
        <w:t>Период регулирования</w:t>
      </w:r>
      <w:r>
        <w:t xml:space="preserve"> - временной интервал (квартал, полугодие, год), принимаемый для расчета показателей, включаемых в тариф.</w:t>
      </w:r>
    </w:p>
    <w:p w:rsidR="00000000" w:rsidRDefault="00956E2E">
      <w:pPr>
        <w:ind w:firstLine="284"/>
        <w:jc w:val="both"/>
      </w:pPr>
      <w:r>
        <w:rPr>
          <w:i/>
        </w:rPr>
        <w:t>Хозяйствующие субъекты</w:t>
      </w:r>
      <w:r>
        <w:t xml:space="preserve"> - юридические лица любых организационно-правовых форм и форм собственности, осуществляющие регулируемую деятельность и представляющие расчеты и обоснования по установлению тарифов в регулирующие органы.</w:t>
      </w:r>
    </w:p>
    <w:p w:rsidR="00000000" w:rsidRDefault="00956E2E">
      <w:pPr>
        <w:ind w:firstLine="284"/>
        <w:jc w:val="both"/>
      </w:pPr>
      <w:r>
        <w:rPr>
          <w:i/>
        </w:rPr>
        <w:t>Экспертиза (проверка)</w:t>
      </w:r>
      <w:r>
        <w:t xml:space="preserve"> - независимая вневедомственная финансов</w:t>
      </w:r>
      <w:r>
        <w:t>ая и технологическая экспертиза факторов, влияющих на формирование тарифов, а также производственно-технологической и финансово-экономической информации, представляемой хозяйствующими субъектами в целях экономического обоснования тарифов в сфере регулируемой деятельности.</w:t>
      </w:r>
    </w:p>
    <w:p w:rsidR="00000000" w:rsidRDefault="00956E2E">
      <w:pPr>
        <w:ind w:firstLine="284"/>
        <w:jc w:val="both"/>
      </w:pPr>
      <w:r>
        <w:rPr>
          <w:i/>
        </w:rPr>
        <w:t>Экспертное заключение (заключение)</w:t>
      </w:r>
      <w:r>
        <w:t xml:space="preserve"> - документ, являющийся результатом проведенной независимой экспертной организацией экспертизы и имеющий юридическое значение в процедуре утверждения экономически обоснованных тарифов регулирующими органам</w:t>
      </w:r>
      <w:r>
        <w:t>и для всех хозяйствующих субъектов, органов государственной власти и управления и органов местного самоуправления.</w:t>
      </w:r>
    </w:p>
    <w:p w:rsidR="00000000" w:rsidRDefault="00956E2E">
      <w:pPr>
        <w:ind w:firstLine="284"/>
        <w:jc w:val="both"/>
      </w:pPr>
      <w:r>
        <w:rPr>
          <w:i/>
        </w:rPr>
        <w:t>Экспертная организация</w:t>
      </w:r>
      <w:r>
        <w:t xml:space="preserve"> - организация, осуществляющая деятельность по проведению независимых вневедомственных проверок специального назначения (аудиторские организации, технические, технологические, научные и иные организации).</w:t>
      </w:r>
    </w:p>
    <w:p w:rsidR="00000000" w:rsidRDefault="00956E2E">
      <w:pPr>
        <w:ind w:firstLine="284"/>
        <w:jc w:val="both"/>
      </w:pPr>
      <w:r>
        <w:t>4. Настоящее Положение устанавливает систему требований к проведению проверки специального назначения хозяйствующих субъектов в соответствии с методологическими, организа</w:t>
      </w:r>
      <w:r>
        <w:t>ционными и правовыми особенностями ценообразования и тарифной политики в регулируемой деятельности.</w:t>
      </w:r>
    </w:p>
    <w:p w:rsidR="00000000" w:rsidRDefault="00956E2E">
      <w:pPr>
        <w:ind w:firstLine="284"/>
        <w:jc w:val="both"/>
      </w:pPr>
      <w:r>
        <w:t>5. Порядок и требования, установленные настоящим Положением, распространяются на экспертизы, проводимые как по инициативе хозяйствующих субъектов, так и по инициативе органов, осуществляющих регулирование тарифов.</w:t>
      </w:r>
    </w:p>
    <w:p w:rsidR="00000000" w:rsidRDefault="00956E2E">
      <w:pPr>
        <w:ind w:firstLine="284"/>
        <w:jc w:val="both"/>
      </w:pPr>
      <w:r>
        <w:t>6. Экспертиза экономического обоснования тарифов может проводиться:</w:t>
      </w:r>
    </w:p>
    <w:p w:rsidR="00000000" w:rsidRDefault="00956E2E">
      <w:pPr>
        <w:ind w:firstLine="284"/>
        <w:jc w:val="both"/>
      </w:pPr>
      <w:r>
        <w:rPr>
          <w:lang w:val="en-US"/>
        </w:rPr>
        <w:t xml:space="preserve">- </w:t>
      </w:r>
      <w:r>
        <w:t>при подготовке хозяйствующими субъектами соответствующих расчетов и обоснований на регулируемый период, установленный действующи</w:t>
      </w:r>
      <w:r>
        <w:t>ми нормативными актами для расчета показателей, включаемых в тариф;</w:t>
      </w:r>
    </w:p>
    <w:p w:rsidR="00000000" w:rsidRDefault="00956E2E">
      <w:pPr>
        <w:ind w:firstLine="284"/>
        <w:jc w:val="both"/>
      </w:pPr>
      <w:r>
        <w:rPr>
          <w:lang w:val="en-US"/>
        </w:rPr>
        <w:t xml:space="preserve">- </w:t>
      </w:r>
      <w:r>
        <w:t>при инициативном обращении хозяйствующих субъектов в регулирующие органы с просьбой пересмотра тарифов в течение регулируемого периода;</w:t>
      </w:r>
    </w:p>
    <w:p w:rsidR="00000000" w:rsidRDefault="00956E2E">
      <w:pPr>
        <w:ind w:firstLine="284"/>
        <w:jc w:val="both"/>
      </w:pPr>
      <w:r>
        <w:rPr>
          <w:lang w:val="en-US"/>
        </w:rPr>
        <w:t xml:space="preserve">- </w:t>
      </w:r>
      <w:r>
        <w:t>в случае несогласия хозяйствующего субъекта с утвержденной регулирующим органом величиной тарифа;</w:t>
      </w:r>
    </w:p>
    <w:p w:rsidR="00000000" w:rsidRDefault="00956E2E">
      <w:pPr>
        <w:ind w:firstLine="284"/>
        <w:jc w:val="both"/>
      </w:pPr>
      <w:r>
        <w:rPr>
          <w:lang w:val="en-US"/>
        </w:rPr>
        <w:t xml:space="preserve">- </w:t>
      </w:r>
      <w:r>
        <w:t>в иных случаях по соглашению между хозяйствующим субъектом и органом, осуществляющим регулирование тарифов.</w:t>
      </w:r>
    </w:p>
    <w:p w:rsidR="00000000" w:rsidRDefault="00956E2E">
      <w:pPr>
        <w:ind w:firstLine="284"/>
        <w:jc w:val="both"/>
      </w:pPr>
      <w:r>
        <w:t>7. Результатом проведения экспертизы должно быть заключение экспертной организации.</w:t>
      </w:r>
    </w:p>
    <w:p w:rsidR="00000000" w:rsidRDefault="00956E2E">
      <w:pPr>
        <w:ind w:firstLine="284"/>
        <w:jc w:val="both"/>
      </w:pPr>
      <w:r>
        <w:t>Заключение э</w:t>
      </w:r>
      <w:r>
        <w:t>кспертной организации является документом, имеющим юридическое значение в процедуре рассмотрения регулирующими органами обоснования тарифов в сфере регулируемой деятельности и утверждения их в установленном законодательством порядке.</w:t>
      </w:r>
    </w:p>
    <w:p w:rsidR="00000000" w:rsidRDefault="00956E2E">
      <w:pPr>
        <w:ind w:firstLine="284"/>
        <w:jc w:val="both"/>
      </w:pPr>
      <w:r>
        <w:t>Заключение по результатам проведения в соответствии с настоящим Положением экспертизы должно быть принято регулирующим органом как основание для формирования тарифа.</w:t>
      </w:r>
    </w:p>
    <w:p w:rsidR="00000000" w:rsidRDefault="00956E2E">
      <w:pPr>
        <w:ind w:firstLine="284"/>
        <w:jc w:val="both"/>
      </w:pPr>
      <w:r>
        <w:t xml:space="preserve">8. Независимая вневедомственная экспертиза, проводимая в соответствии с настоящим Положением, осуществляется на </w:t>
      </w:r>
      <w:r>
        <w:t>основании договора возмездного оказания услуг. Заказчиком экспертизы является организация, по инициативе которой она проводится.</w:t>
      </w:r>
    </w:p>
    <w:p w:rsidR="00000000" w:rsidRDefault="00956E2E">
      <w:pPr>
        <w:ind w:firstLine="284"/>
        <w:jc w:val="both"/>
      </w:pPr>
      <w:r>
        <w:t>9. Методы проведения экспертизы устанавливаются экспертными организациями самостоятельно, при этом экспертные организации должны гарантировать качество и достоверность представленной в заключении информации.</w:t>
      </w:r>
    </w:p>
    <w:p w:rsidR="00000000" w:rsidRDefault="00956E2E">
      <w:pPr>
        <w:ind w:firstLine="284"/>
        <w:jc w:val="both"/>
      </w:pPr>
      <w:r>
        <w:lastRenderedPageBreak/>
        <w:t>10. Экспертиза может быть финансовой и (или) технологической, и в обязательном порядке содержать анализ факторов, влияющих на формирование тарифов.</w:t>
      </w:r>
    </w:p>
    <w:p w:rsidR="00000000" w:rsidRDefault="00956E2E">
      <w:pPr>
        <w:ind w:firstLine="284"/>
        <w:jc w:val="both"/>
      </w:pPr>
      <w:r>
        <w:t>Специальное назначение эксп</w:t>
      </w:r>
      <w:r>
        <w:t>ертизы, устанавливаемой настоящим Положением, определяется содержанием поставленных целей, глубиной, составом и объемом привлекаемой для анализа информации.</w:t>
      </w:r>
    </w:p>
    <w:p w:rsidR="00000000" w:rsidRDefault="00956E2E">
      <w:pPr>
        <w:ind w:firstLine="284"/>
        <w:jc w:val="both"/>
      </w:pPr>
      <w:r>
        <w:t>11. Критериями для экспертизы являются федеральные законы, законы субъектов Российской Федерации, общие нормативные правовые акты, принятые органами государственной власти и органами местного самоуправления, определяющие порядок ценообразования и тарифную политику по регулируемой деятельности, а также указания, инструкции, правила и нормы технической эк</w:t>
      </w:r>
      <w:r>
        <w:t>сплуатации объектов и другие документы, обязательные для исполнения хозяйствующими субъектами.</w:t>
      </w:r>
    </w:p>
    <w:p w:rsidR="00000000" w:rsidRDefault="00956E2E">
      <w:pPr>
        <w:ind w:firstLine="284"/>
        <w:jc w:val="both"/>
      </w:pPr>
      <w:r>
        <w:t>При этом в обязательном порядке регулирующими органами в пределах своей компетенции утверждаются, а хозяйствующими субъектами используются:</w:t>
      </w:r>
    </w:p>
    <w:p w:rsidR="00000000" w:rsidRDefault="00956E2E">
      <w:pPr>
        <w:ind w:firstLine="284"/>
        <w:jc w:val="both"/>
      </w:pPr>
      <w:r>
        <w:t>методические указания о порядке расчета тарифов и размеров платы за услуги;</w:t>
      </w:r>
    </w:p>
    <w:p w:rsidR="00000000" w:rsidRDefault="00956E2E">
      <w:pPr>
        <w:ind w:firstLine="284"/>
        <w:jc w:val="both"/>
      </w:pPr>
      <w:r>
        <w:t>система показателей и информационных данных, представляемых в регулирующий орган;</w:t>
      </w:r>
    </w:p>
    <w:p w:rsidR="00000000" w:rsidRDefault="00956E2E">
      <w:pPr>
        <w:ind w:firstLine="284"/>
        <w:jc w:val="both"/>
      </w:pPr>
      <w:r>
        <w:t xml:space="preserve">нормы и нормативы, используемые при экономическом обосновании планируемых (расчетных) величин себестоимости и прибыли, </w:t>
      </w:r>
      <w:r>
        <w:t>принимаемых для расчета тарифов.</w:t>
      </w:r>
    </w:p>
    <w:p w:rsidR="00000000" w:rsidRDefault="00956E2E">
      <w:pPr>
        <w:ind w:firstLine="284"/>
        <w:jc w:val="both"/>
      </w:pPr>
      <w:r>
        <w:t>12. Заключение экспертной организации в обязательном порядке должно содержать следующую информацию:</w:t>
      </w:r>
    </w:p>
    <w:p w:rsidR="00000000" w:rsidRDefault="00956E2E">
      <w:pPr>
        <w:ind w:firstLine="284"/>
        <w:jc w:val="both"/>
      </w:pPr>
      <w:r>
        <w:t>По финансовой экспертизе:</w:t>
      </w:r>
    </w:p>
    <w:p w:rsidR="00000000" w:rsidRDefault="00956E2E">
      <w:pPr>
        <w:ind w:firstLine="284"/>
        <w:jc w:val="both"/>
      </w:pPr>
      <w:r>
        <w:t>анализ организационно-правового статуса хозяйствующего субъекта, его структуры управления, уставных, учредительных, юридических, распорядительных и организационных документов, требований учетной политики;</w:t>
      </w:r>
    </w:p>
    <w:p w:rsidR="00000000" w:rsidRDefault="00956E2E">
      <w:pPr>
        <w:ind w:firstLine="284"/>
        <w:jc w:val="both"/>
      </w:pPr>
      <w:r>
        <w:t>описание методов экспертизы тарифов и оснований для их выбора;</w:t>
      </w:r>
    </w:p>
    <w:p w:rsidR="00000000" w:rsidRDefault="00956E2E">
      <w:pPr>
        <w:ind w:firstLine="284"/>
        <w:jc w:val="both"/>
      </w:pPr>
      <w:r>
        <w:t>оценку достоверности финансовой информации, используемой при обосновании расчетной ве</w:t>
      </w:r>
      <w:r>
        <w:t>личины тарифов;</w:t>
      </w:r>
    </w:p>
    <w:p w:rsidR="00000000" w:rsidRDefault="00956E2E">
      <w:pPr>
        <w:ind w:firstLine="284"/>
        <w:jc w:val="both"/>
      </w:pPr>
      <w:r>
        <w:t>обоснованность определения видов и объемов продукции (работ, услуг) в натуральном выражении;</w:t>
      </w:r>
    </w:p>
    <w:p w:rsidR="00000000" w:rsidRDefault="00956E2E">
      <w:pPr>
        <w:ind w:firstLine="284"/>
        <w:jc w:val="both"/>
      </w:pPr>
      <w:r>
        <w:t>обоснованность общей величины, структуры и размера составляющих потребности в финансовых средствах по видам регулируемой деятельности на период утверждения тарифов;</w:t>
      </w:r>
    </w:p>
    <w:p w:rsidR="00000000" w:rsidRDefault="00956E2E">
      <w:pPr>
        <w:ind w:firstLine="284"/>
        <w:jc w:val="both"/>
      </w:pPr>
      <w:r>
        <w:t>анализ динамики тарифов с 1996 года, включая постатейный анализ фактической себестоимости и рентабельности;</w:t>
      </w:r>
    </w:p>
    <w:p w:rsidR="00000000" w:rsidRDefault="00956E2E">
      <w:pPr>
        <w:ind w:firstLine="284"/>
        <w:jc w:val="both"/>
      </w:pPr>
      <w:r>
        <w:t>сведения о динамике цен на приобретаемые товарно-материальные ценности;</w:t>
      </w:r>
    </w:p>
    <w:p w:rsidR="00000000" w:rsidRDefault="00956E2E">
      <w:pPr>
        <w:ind w:firstLine="284"/>
        <w:jc w:val="both"/>
      </w:pPr>
      <w:r>
        <w:t>анализ применяемых норм и нормативов в сравнении со средне</w:t>
      </w:r>
      <w:r>
        <w:t>отраслевыми показателями, обоснование отклонений от этих показателей;</w:t>
      </w:r>
    </w:p>
    <w:p w:rsidR="00000000" w:rsidRDefault="00956E2E">
      <w:pPr>
        <w:ind w:firstLine="284"/>
        <w:jc w:val="both"/>
      </w:pPr>
      <w:r>
        <w:t>сведения о соблюдении предприятиями установленных норм и нормативов;</w:t>
      </w:r>
    </w:p>
    <w:p w:rsidR="00000000" w:rsidRDefault="00956E2E">
      <w:pPr>
        <w:ind w:firstLine="284"/>
        <w:jc w:val="both"/>
      </w:pPr>
      <w:r>
        <w:t>сведения о системе контроля за сохранностью товарно-материальных ценностей;</w:t>
      </w:r>
    </w:p>
    <w:p w:rsidR="00000000" w:rsidRDefault="00956E2E">
      <w:pPr>
        <w:ind w:firstLine="284"/>
        <w:jc w:val="both"/>
      </w:pPr>
      <w:r>
        <w:t>данные о суммах и удельном весе в себестоимости (товаров, работ, услуг) производственных потерь, их причинах;</w:t>
      </w:r>
    </w:p>
    <w:p w:rsidR="00000000" w:rsidRDefault="00956E2E">
      <w:pPr>
        <w:ind w:firstLine="284"/>
        <w:jc w:val="both"/>
      </w:pPr>
      <w:r>
        <w:t>сведения о доле в себестоимости (товаров, работ, услуг) затрат на энергоресурсы, динамика тарифа за проверяемый период;</w:t>
      </w:r>
    </w:p>
    <w:p w:rsidR="00000000" w:rsidRDefault="00956E2E">
      <w:pPr>
        <w:ind w:firstLine="284"/>
        <w:jc w:val="both"/>
      </w:pPr>
      <w:r>
        <w:t>анализ цен, объемов и динамики расходов на оплату услуг сторонних о</w:t>
      </w:r>
      <w:r>
        <w:t>рганизаций;</w:t>
      </w:r>
    </w:p>
    <w:p w:rsidR="00000000" w:rsidRDefault="00956E2E">
      <w:pPr>
        <w:ind w:firstLine="284"/>
        <w:jc w:val="both"/>
      </w:pPr>
      <w:r>
        <w:t>результаты выборочной проверки выполненных работ и услуг сторонними организациями, основания для выборки, анализ обоснованности расходов;</w:t>
      </w:r>
    </w:p>
    <w:p w:rsidR="00000000" w:rsidRDefault="00956E2E">
      <w:pPr>
        <w:ind w:firstLine="284"/>
        <w:jc w:val="both"/>
      </w:pPr>
      <w:r>
        <w:t>выборочная оценка влияния переоценки основных средств на сумму амортизации;</w:t>
      </w:r>
    </w:p>
    <w:p w:rsidR="00000000" w:rsidRDefault="00956E2E">
      <w:pPr>
        <w:ind w:firstLine="284"/>
        <w:jc w:val="both"/>
      </w:pPr>
      <w:r>
        <w:t>данные о степени изношенности основных средств;</w:t>
      </w:r>
    </w:p>
    <w:p w:rsidR="00000000" w:rsidRDefault="00956E2E">
      <w:pPr>
        <w:ind w:firstLine="284"/>
        <w:jc w:val="both"/>
      </w:pPr>
      <w:r>
        <w:t>результаты проверки целевого использования амортизационных отчислений;</w:t>
      </w:r>
    </w:p>
    <w:p w:rsidR="00000000" w:rsidRDefault="00956E2E">
      <w:pPr>
        <w:ind w:firstLine="284"/>
        <w:jc w:val="both"/>
      </w:pPr>
      <w:r>
        <w:t>результаты выборочной проверки сданных работ по капитальному ремонту и другим капитальным вложениям;</w:t>
      </w:r>
    </w:p>
    <w:p w:rsidR="00000000" w:rsidRDefault="00956E2E">
      <w:pPr>
        <w:ind w:firstLine="284"/>
        <w:jc w:val="both"/>
      </w:pPr>
      <w:r>
        <w:t>результаты проверки целевого использования ремонтного фонда;</w:t>
      </w:r>
    </w:p>
    <w:p w:rsidR="00000000" w:rsidRDefault="00956E2E">
      <w:pPr>
        <w:ind w:firstLine="284"/>
        <w:jc w:val="both"/>
      </w:pPr>
      <w:r>
        <w:t>объем</w:t>
      </w:r>
      <w:r>
        <w:t>ы планово-предупредительных работ - процент исполнения, соответствие нормам;</w:t>
      </w:r>
    </w:p>
    <w:p w:rsidR="00000000" w:rsidRDefault="00956E2E">
      <w:pPr>
        <w:ind w:firstLine="284"/>
        <w:jc w:val="both"/>
      </w:pPr>
      <w:r>
        <w:t>расшифровку прочих расходов по текущему ремонту, оценку их обоснованности;</w:t>
      </w:r>
    </w:p>
    <w:p w:rsidR="00000000" w:rsidRDefault="00956E2E">
      <w:pPr>
        <w:ind w:firstLine="284"/>
        <w:jc w:val="both"/>
      </w:pPr>
      <w:r>
        <w:t>сведения об обоснованности складских запасов;</w:t>
      </w:r>
    </w:p>
    <w:p w:rsidR="00000000" w:rsidRDefault="00956E2E">
      <w:pPr>
        <w:ind w:firstLine="284"/>
        <w:jc w:val="both"/>
      </w:pPr>
      <w:r>
        <w:t>доля аварийно-восстановительных работ в себестоимости (товаров, работ, услуг). Причины аварий;</w:t>
      </w:r>
    </w:p>
    <w:p w:rsidR="00000000" w:rsidRDefault="00956E2E">
      <w:pPr>
        <w:ind w:firstLine="284"/>
        <w:jc w:val="both"/>
      </w:pPr>
      <w:r>
        <w:t>расшифровку цеховых и общепроизводственных расходов;</w:t>
      </w:r>
    </w:p>
    <w:p w:rsidR="00000000" w:rsidRDefault="00956E2E">
      <w:pPr>
        <w:ind w:firstLine="284"/>
        <w:jc w:val="both"/>
      </w:pPr>
      <w:r>
        <w:t xml:space="preserve">анализ избранной методики учета и </w:t>
      </w:r>
      <w:proofErr w:type="spellStart"/>
      <w:r>
        <w:t>калькулирования</w:t>
      </w:r>
      <w:proofErr w:type="spellEnd"/>
      <w:r>
        <w:t xml:space="preserve"> себестоимости;</w:t>
      </w:r>
    </w:p>
    <w:p w:rsidR="00000000" w:rsidRDefault="00956E2E">
      <w:pPr>
        <w:ind w:firstLine="284"/>
        <w:jc w:val="both"/>
      </w:pPr>
      <w:r>
        <w:t>анализ применяемых норм и нормативов потребления: особенности этих норм;</w:t>
      </w:r>
    </w:p>
    <w:p w:rsidR="00000000" w:rsidRDefault="00956E2E">
      <w:pPr>
        <w:ind w:firstLine="284"/>
        <w:jc w:val="both"/>
      </w:pPr>
      <w:r>
        <w:t xml:space="preserve">анализ данных, на основании </w:t>
      </w:r>
      <w:r>
        <w:t>которых был рассчитан тариф и фактических данных за предыдущий год.</w:t>
      </w:r>
    </w:p>
    <w:p w:rsidR="00000000" w:rsidRDefault="00956E2E">
      <w:pPr>
        <w:ind w:firstLine="284"/>
        <w:jc w:val="both"/>
      </w:pPr>
      <w:r>
        <w:t>По технологической экспертизе:</w:t>
      </w:r>
    </w:p>
    <w:p w:rsidR="00000000" w:rsidRDefault="00956E2E">
      <w:pPr>
        <w:ind w:firstLine="284"/>
        <w:jc w:val="both"/>
      </w:pPr>
      <w:r>
        <w:t>описание методов проведения технологической экспертизы и обоснований их выбора;</w:t>
      </w:r>
    </w:p>
    <w:p w:rsidR="00000000" w:rsidRDefault="00956E2E">
      <w:pPr>
        <w:ind w:firstLine="284"/>
        <w:jc w:val="both"/>
      </w:pPr>
      <w:r>
        <w:t>состав и состояние основного и вспомогательного технологического оборудования, степень использования его мощности;</w:t>
      </w:r>
    </w:p>
    <w:p w:rsidR="00000000" w:rsidRDefault="00956E2E">
      <w:pPr>
        <w:ind w:firstLine="284"/>
        <w:jc w:val="both"/>
      </w:pPr>
      <w:r>
        <w:t>совокупные и удельные затраты первичных ресурсов в технологических процессах, включая оценку эффективности их использования в сравнении с базовыми отраслевыми и мировыми показателями, предложения по повышению эффективн</w:t>
      </w:r>
      <w:r>
        <w:t>ости использования первичных ресурсов;</w:t>
      </w:r>
    </w:p>
    <w:p w:rsidR="00000000" w:rsidRDefault="00956E2E">
      <w:pPr>
        <w:ind w:firstLine="284"/>
        <w:jc w:val="both"/>
      </w:pPr>
      <w:r>
        <w:t>совокупные и удельные показатели фактически производимых в технологическом процессе ресурсов и услуг;</w:t>
      </w:r>
    </w:p>
    <w:p w:rsidR="00000000" w:rsidRDefault="00956E2E">
      <w:pPr>
        <w:ind w:firstLine="284"/>
        <w:jc w:val="both"/>
      </w:pPr>
      <w:r>
        <w:t>состав и состояние транспортных коммуникаций доставки ресурсов, включая оценку совокупных и удельных потерь в сравнении с базовыми отраслевыми и мировыми показателями, предложения по снижению потерь при транспортировке ресурсов;</w:t>
      </w:r>
    </w:p>
    <w:p w:rsidR="00000000" w:rsidRDefault="00956E2E">
      <w:pPr>
        <w:ind w:firstLine="284"/>
        <w:jc w:val="both"/>
      </w:pPr>
      <w:r>
        <w:t>наличие приборного учета ресурсов на этапах производства, транспортировки и потребления, степень использования данных приборного учета в управ</w:t>
      </w:r>
      <w:r>
        <w:t>лении технологическими процессами и расчетах с потребителями;</w:t>
      </w:r>
    </w:p>
    <w:p w:rsidR="00000000" w:rsidRDefault="00956E2E">
      <w:pPr>
        <w:ind w:firstLine="284"/>
        <w:jc w:val="both"/>
      </w:pPr>
      <w:r>
        <w:t>соответствие фактических качественных и количественных показателей ресурсов, поставляемых потребителю, заявленным в договорах и используемым при расчетах за услуги и ресурсы.</w:t>
      </w:r>
    </w:p>
    <w:p w:rsidR="00000000" w:rsidRDefault="00956E2E">
      <w:pPr>
        <w:ind w:firstLine="284"/>
        <w:jc w:val="both"/>
      </w:pPr>
      <w:r>
        <w:t>13. В ходе проведения экспертизы при выявлении фактов нарушений или допущенных ошибок, существенно влияющих на величину формируемых тарифов, хозяйствующими субъектами вносятся необходимые изменения на основании соответствующих рекомендаций.</w:t>
      </w:r>
    </w:p>
    <w:p w:rsidR="00000000" w:rsidRDefault="00956E2E">
      <w:pPr>
        <w:ind w:firstLine="284"/>
        <w:jc w:val="both"/>
      </w:pPr>
      <w:r>
        <w:t>14. В случае, если хозяйствующим с</w:t>
      </w:r>
      <w:r>
        <w:t>убъектом в ходе проведения экспертизы не были устранены выявленные существенные нарушения или ошибки, соответствующая информация должна найти отражение в заключении с оценочным анализом последствий для установления величины тарифов и в целях выполнения задач, решаемых экспертизой.</w:t>
      </w:r>
    </w:p>
    <w:p w:rsidR="00000000" w:rsidRDefault="00956E2E">
      <w:pPr>
        <w:ind w:firstLine="284"/>
        <w:jc w:val="both"/>
      </w:pPr>
      <w:r>
        <w:t xml:space="preserve">15. Органы исполнительной власти субъектов Российской Федерации осуществляют контроль за отклонениями величин тарифов по каждому регулируемому виду деятельности по муниципальным </w:t>
      </w:r>
      <w:proofErr w:type="spellStart"/>
      <w:r>
        <w:t>образованиям</w:t>
      </w:r>
      <w:proofErr w:type="spellEnd"/>
      <w:r>
        <w:t>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E2E"/>
    <w:rsid w:val="009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2019</Words>
  <Characters>11511</Characters>
  <Application>Microsoft Office Word</Application>
  <DocSecurity>0</DocSecurity>
  <Lines>95</Lines>
  <Paragraphs>27</Paragraphs>
  <ScaleCrop>false</ScaleCrop>
  <Company> 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Попов 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