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4F62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 ПО СТРОИТЕЛЬСТВУ И ЖИЛИЩНО-КОММУНАЛЬНОМУ КОМПЛЕКСУ (ГОССТРОЙ РОССИИ)</w:t>
      </w: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ЦЕНТРАЛЬНЫЙ НАУЧНО-ИССЛЕДОВАТЕЛЬСКИЙ И ПРОЕКТНО-ЭКСПЕРИМЕНТАЛЬНЫЙ ИНСТИТУТ ОРГАНИЗАЦИИ, МЕХАНИЗАЦИИ И ТЕХНИЧЕСКОЙ ПОМОЩИ СТРОИТЕЛЬСТВУ (ЦНИИО</w:t>
      </w:r>
      <w:r>
        <w:rPr>
          <w:sz w:val="20"/>
        </w:rPr>
        <w:t>МТП)</w:t>
      </w: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РЕКОМЕНДАЦИИ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организации технического обслуживания и ремонта строительных машин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МДС 12-8.2000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УДК 69.002.5.04.67 (083.131)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 разработаны ЦНИИОМТП.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Согласованы и рекомендованы Управлением технологии и механизации строительства Госстроя России.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Содержат положения о системе технического обслуживания и ремонта строительных машин, указания по планированию, организации и учету этих работ, а также типовые нормы периодичности, продолжительности и трудоемкости технического обслуживания и рем</w:t>
      </w:r>
      <w:r>
        <w:rPr>
          <w:sz w:val="20"/>
        </w:rPr>
        <w:t>онта.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работе с Методическими указаниями по разработке сметных норм и расценок на эксплуатацию строительных машин и автотранспортных средств Госстроя России (МДС 81-3.99) рекомендуется использовать в качестве исходных данных типовые нормы трудоемкости технического обслуживания и ремонта настоящих Рекомендаций.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 предназначены для организаций, эксплуатирующих строительные машины и выполняющих их техническое обслуживание и ремонт, а также для проектных организаций, занимающихся вопросами планиро</w:t>
      </w:r>
      <w:r>
        <w:rPr>
          <w:sz w:val="20"/>
        </w:rPr>
        <w:t>вания и организации технического обслуживания и ремонта строительных машин.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 способствуют выполнению основных требований ГОСТ 25646 —95 «Эксплуатация строительных машин. Общие требования».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1. ОБЩИЕ ПОЛОЖЕНИЯ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Для обеспечения высокого уровня качества эксплуатации строительных машин строительные организации разрабатывают и внедряют согласно требованиям ГОСТ 25646—95 и с учетом рекомендаций ГОСТ 40.9001-88, ГОСТ 40.9002-88 систему управления качеством эксплуатации строительных машин (УКЭСМ).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Основой эксплуатации строительных машин (далее — машин) является их техническое обслуживание и ремонт.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Техническое обслуживание и ремонт машин выполняют на основе диагностирования их технического состояния. Мероприятия по техническому обслуживанию и ремонт машин разрабатывают и осуществляют с учетом эксплуатационной (по ГОСТ 2.601—95) и ремонтной (по ГОСТ 2.602—95) документации заводов-изготовителей, а также требований к техническому состоянию машин и правил безопасной эксплуатации, установленных Госго</w:t>
      </w:r>
      <w:r>
        <w:rPr>
          <w:sz w:val="20"/>
        </w:rPr>
        <w:t>ртехнадзором, Госавтоинспекцией и государственными нормативно-техническими документами.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Согласно ГОСТ 25646—95 проводят следующие виды технического обслуживания: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а) ежесменное техническое обслуживание (ЕО) в начале или после использования машины, выполняемое в течение смены;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б) техническое обслуживание (ТО), выполняемое через плановые периоды наработки;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в) сезонное обслуживание (СО), выполняемое два раза в год при подготовке машины к использованию в летний или зимний периоды.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Некоторым видам техническо</w:t>
      </w:r>
      <w:r>
        <w:rPr>
          <w:sz w:val="20"/>
        </w:rPr>
        <w:t>го обслуживания (ТО) конкретных машин может присваиваться в зависимости от периодичности выполнения и состава работ порядковый номер:</w:t>
      </w:r>
      <w:r>
        <w:rPr>
          <w:sz w:val="20"/>
          <w:lang w:val="en-US"/>
        </w:rPr>
        <w:t xml:space="preserve"> TO-1, TO-2, TO-3.</w:t>
      </w:r>
      <w:r>
        <w:rPr>
          <w:sz w:val="20"/>
        </w:rPr>
        <w:t xml:space="preserve"> В состав работ технического обслуживания, имеющего более высокий порядковый номер, входят работы каждого из предшествующих видов технических обслуживаний, включая ежесменное.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В соответствии с ГОСТ 25646—95 выполняют ремонты двух типов: текущий (Т) и </w:t>
      </w:r>
      <w:r>
        <w:rPr>
          <w:sz w:val="20"/>
        </w:rPr>
        <w:lastRenderedPageBreak/>
        <w:t>капитальный (К).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Текущий ремонт обеспечивает ресурс машины до очередного ремонта.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Капитальный ремонт обес</w:t>
      </w:r>
      <w:r>
        <w:rPr>
          <w:sz w:val="20"/>
        </w:rPr>
        <w:t>печивает полный или близкий к полному ресурс машины путем восстановления и замены сборочных единиц (узлов) и деталей, включая базовые.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1.5.</w:t>
      </w:r>
      <w:r>
        <w:rPr>
          <w:sz w:val="20"/>
        </w:rPr>
        <w:t xml:space="preserve"> Техническое диагностирование входит в состав технического обслуживания (ТО) и ремонта и обеспечивает их проведение по фактическому техническому состоянию машин.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При техническом диагностировании с помощью приборов измеряют диагностические параметры машины, составных частей, сборочных единиц и деталей.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В результате технического диагностирования прогнозируют техническое со</w:t>
      </w:r>
      <w:r>
        <w:rPr>
          <w:sz w:val="20"/>
        </w:rPr>
        <w:t>стояние машины и ее остаточный ресурс по ГОСТ 19919—74, принимают решение о ее дальнейшей эксплуатации или определяют потребность в техническом обслуживании и ремонте.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1.6.</w:t>
      </w:r>
      <w:r>
        <w:rPr>
          <w:sz w:val="20"/>
        </w:rPr>
        <w:t xml:space="preserve"> Настоящие Рекомендации содержат сводные данные из эксплуатационной и ремонтной документации о видах технического обслуживания и ремонта, периодичности их проведения для каждого вида и типа основных машин.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Типовые нормы трудоемкости и продолжительности выполнения работ по техническому обслуживанию и ремонту разработаны на основе указаний </w:t>
      </w:r>
      <w:r>
        <w:rPr>
          <w:sz w:val="20"/>
        </w:rPr>
        <w:t>по составу работ, содержащихся в эксплуатационной и ремонтной документации, а также фактических затрат труда и времени на эти работы в управлениях механизации и на ремонтных заводах.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1.7.</w:t>
      </w:r>
      <w:r>
        <w:rPr>
          <w:sz w:val="20"/>
        </w:rPr>
        <w:t xml:space="preserve"> Периодичность технического обслуживания и ремонта устанавливается в часах наработки машин.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Наработку машин определяют по показаниям приборов-счетчиков. Наработку машин, не имеющих счетчиков, определяют по данным учета сменного времени, скорректированного с помощью коэффициента внутрисменного использования.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1.8.</w:t>
      </w:r>
      <w:r>
        <w:rPr>
          <w:sz w:val="20"/>
        </w:rPr>
        <w:t xml:space="preserve"> Типовые нор</w:t>
      </w:r>
      <w:r>
        <w:rPr>
          <w:sz w:val="20"/>
        </w:rPr>
        <w:t>мы трудоемкости включают средние суммарные затраты труда в человеко-часах на выполнение всех операций, определяемые конструкцией и техническим состоянием машины.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1.9.</w:t>
      </w:r>
      <w:r>
        <w:rPr>
          <w:sz w:val="20"/>
        </w:rPr>
        <w:t xml:space="preserve"> Продолжительность технического обслуживания и ремонта — это затраты времени на выполнение всех операций, определяемые конструкцией и техническим состоянием машины и измеряемые в часах.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1.10.</w:t>
      </w:r>
      <w:r>
        <w:rPr>
          <w:sz w:val="20"/>
        </w:rPr>
        <w:t xml:space="preserve"> Типовые нормы трудоемкости и продолжительности технических обслуживаний и текущих ремонтов машин определены на основе обработки статистических данных с уч</w:t>
      </w:r>
      <w:r>
        <w:rPr>
          <w:sz w:val="20"/>
        </w:rPr>
        <w:t>етом условий проведения работ на эксплуатационных базах, в организациях, эксплуатирующих смешанные парки с количеством машин 100—250 в центральной природно-климатической зоне России.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Типовые нормы трудоемкости и продолжительности капитальных ремонтов определены на основе обработки статистических данных и применительны к ремонтным заводам, ремонтирующим до 100 машин одной модели в год.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При условиях работ и программах технического обслуживания и ремонта, отличных от приведенных, нормы подлежат корректировке п</w:t>
      </w:r>
      <w:r>
        <w:rPr>
          <w:sz w:val="20"/>
        </w:rPr>
        <w:t>рименительно к местным условиям строительной организации.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ПЛАНИРОВАНИЕ ТЕХНИЧЕСКОГО ОБСЛУЖИВАНИЯ И РЕМОНТА СТРОИТЕЛЬНЫХ МАШИН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Строительные организации разрабатывают годовой план и месячные планы-графики технического обслуживания и ремонта машин по ГОСТ 25646-95.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Годовой план технического обслуживания и ремонта является основанием для расчета потребности в материальных и трудовых ресурсах, в производственных площадях ремонтных мастерских и профилакториев, в технологическом оборудовании, в передвижн</w:t>
      </w:r>
      <w:r>
        <w:rPr>
          <w:sz w:val="20"/>
        </w:rPr>
        <w:t>ых средствах.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Количество технических обслуживаний и ремонтов в планируемом году </w:t>
      </w:r>
      <w:r>
        <w:rPr>
          <w:i/>
          <w:sz w:val="20"/>
        </w:rPr>
        <w:t>К</w:t>
      </w:r>
      <w:r>
        <w:rPr>
          <w:sz w:val="20"/>
        </w:rPr>
        <w:t xml:space="preserve"> определяется по формуле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3pt" o:ole="">
            <v:imagedata r:id="rId4" o:title=""/>
          </v:shape>
          <o:OLEObject Type="Embed" ProgID="Equation.3" ShapeID="_x0000_i1025" DrawAspect="Content" ObjectID="_1427206547" r:id="rId5"/>
        </w:object>
      </w:r>
      <w:r>
        <w:rPr>
          <w:sz w:val="20"/>
        </w:rPr>
        <w:t>,                  (1)</w:t>
      </w:r>
    </w:p>
    <w:p w:rsidR="00000000" w:rsidRDefault="00FB4F62">
      <w:pPr>
        <w:spacing w:line="240" w:lineRule="auto"/>
        <w:ind w:firstLine="284"/>
        <w:jc w:val="lef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FB4F6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position w:val="-14"/>
                <w:sz w:val="20"/>
              </w:rPr>
              <w:object w:dxaOrig="380" w:dyaOrig="380">
                <v:shape id="_x0000_i1026" type="#_x0000_t75" style="width:18pt;height:18pt" o:ole="">
                  <v:imagedata r:id="rId6" o:title=""/>
                </v:shape>
                <o:OLEObject Type="Embed" ProgID="Equation.3" ShapeID="_x0000_i1026" DrawAspect="Content" ObjectID="_1427206548" r:id="rId7"/>
              </w:object>
            </w:r>
            <w:r>
              <w:rPr>
                <w:sz w:val="20"/>
              </w:rPr>
              <w:t xml:space="preserve"> -</w:t>
            </w:r>
          </w:p>
        </w:tc>
        <w:tc>
          <w:tcPr>
            <w:tcW w:w="7077" w:type="dxa"/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 наработка машины на начало планируемого года со времени проведения последнего вида технического обслуживания, ремонта или с начала эксплуатации,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FB4F6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360" w:dyaOrig="360">
                <v:shape id="_x0000_i1027" type="#_x0000_t75" style="width:17.25pt;height:17.25pt" o:ole="">
                  <v:imagedata r:id="rId8" o:title=""/>
                </v:shape>
                <o:OLEObject Type="Embed" ProgID="Equation.3" ShapeID="_x0000_i1027" DrawAspect="Content" ObjectID="_1427206549" r:id="rId9"/>
              </w:object>
            </w:r>
            <w:r>
              <w:rPr>
                <w:sz w:val="20"/>
              </w:rPr>
              <w:t>-</w:t>
            </w:r>
          </w:p>
        </w:tc>
        <w:tc>
          <w:tcPr>
            <w:tcW w:w="7077" w:type="dxa"/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планируемая наработка на расчетный год,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FB4F6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Т -</w:t>
            </w:r>
          </w:p>
        </w:tc>
        <w:tc>
          <w:tcPr>
            <w:tcW w:w="7077" w:type="dxa"/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периодичность выполнения соответствующего вида технического обслуживания или ремонта,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FB4F6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340" w:dyaOrig="360">
                <v:shape id="_x0000_i1028" type="#_x0000_t75" style="width:16.5pt;height:17.25pt" o:ole="">
                  <v:imagedata r:id="rId10" o:title=""/>
                </v:shape>
                <o:OLEObject Type="Embed" ProgID="Equation.3" ShapeID="_x0000_i1028" DrawAspect="Content" ObjectID="_1427206550" r:id="rId11"/>
              </w:object>
            </w:r>
            <w:r>
              <w:rPr>
                <w:sz w:val="20"/>
              </w:rPr>
              <w:t>-</w:t>
            </w:r>
          </w:p>
        </w:tc>
        <w:tc>
          <w:tcPr>
            <w:tcW w:w="7077" w:type="dxa"/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количество всех видов предшествующих технических обслуживаний и ремонтов (при расчете капитального ремонта </w:t>
            </w:r>
            <w:r>
              <w:rPr>
                <w:position w:val="-12"/>
                <w:sz w:val="20"/>
              </w:rPr>
              <w:object w:dxaOrig="340" w:dyaOrig="360">
                <v:shape id="_x0000_i1029" type="#_x0000_t75" style="width:16.5pt;height:17.25pt" o:ole="">
                  <v:imagedata r:id="rId10" o:title=""/>
                </v:shape>
                <o:OLEObject Type="Embed" ProgID="Equation.3" ShapeID="_x0000_i1029" DrawAspect="Content" ObjectID="_1427206551" r:id="rId12"/>
              </w:object>
            </w:r>
            <w:r>
              <w:rPr>
                <w:sz w:val="20"/>
              </w:rPr>
              <w:t xml:space="preserve"> равно нулю).</w:t>
            </w:r>
          </w:p>
        </w:tc>
      </w:tr>
    </w:tbl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Планируемую наработку определяют по Методическим указаниям по определению годовых режимов работы и эксплуатационной производительности строительных машин ЦНИИОМТП.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Расчеты производят в следующей последовательности: капитальный ремонт, текущий ремонт, технические обслуживания (ТО-3, </w:t>
      </w:r>
      <w:r>
        <w:rPr>
          <w:sz w:val="20"/>
          <w:lang w:val="en-US"/>
        </w:rPr>
        <w:t>TO-2, TO-1).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Порядковый номер месяца, в котором долже</w:t>
      </w:r>
      <w:r>
        <w:rPr>
          <w:sz w:val="20"/>
        </w:rPr>
        <w:t xml:space="preserve">н производиться капитальный ремонт </w:t>
      </w:r>
      <w:r>
        <w:rPr>
          <w:position w:val="-12"/>
          <w:sz w:val="20"/>
        </w:rPr>
        <w:object w:dxaOrig="360" w:dyaOrig="360">
          <v:shape id="_x0000_i1030" type="#_x0000_t75" style="width:18pt;height:18pt" o:ole="">
            <v:imagedata r:id="rId13" o:title=""/>
          </v:shape>
          <o:OLEObject Type="Embed" ProgID="Equation.3" ShapeID="_x0000_i1030" DrawAspect="Content" ObjectID="_1427206552" r:id="rId14"/>
        </w:object>
      </w:r>
      <w:r>
        <w:rPr>
          <w:sz w:val="20"/>
        </w:rPr>
        <w:t>, определяют по формуле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2140" w:dyaOrig="720">
          <v:shape id="_x0000_i1031" type="#_x0000_t75" style="width:107.25pt;height:36pt" o:ole="">
            <v:imagedata r:id="rId15" o:title=""/>
          </v:shape>
          <o:OLEObject Type="Embed" ProgID="Equation.3" ShapeID="_x0000_i1031" DrawAspect="Content" ObjectID="_1427206553" r:id="rId16"/>
        </w:object>
      </w:r>
      <w:r>
        <w:rPr>
          <w:sz w:val="20"/>
        </w:rPr>
        <w:t>.                      (2)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Если при расчете </w:t>
      </w:r>
      <w:r>
        <w:rPr>
          <w:position w:val="-12"/>
          <w:sz w:val="20"/>
        </w:rPr>
        <w:object w:dxaOrig="360" w:dyaOrig="360">
          <v:shape id="_x0000_i1032" type="#_x0000_t75" style="width:18pt;height:18pt" o:ole="">
            <v:imagedata r:id="rId17" o:title=""/>
          </v:shape>
          <o:OLEObject Type="Embed" ProgID="Equation.3" ShapeID="_x0000_i1032" DrawAspect="Content" ObjectID="_1427206554" r:id="rId18"/>
        </w:object>
      </w:r>
      <w:r>
        <w:rPr>
          <w:sz w:val="20"/>
        </w:rPr>
        <w:t>&gt;12, капитальный ремонт машины в этом году не планируется.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Месячным планом-графиком устанавливают дату технического обслуживания или ремонта и продолжительность простоя машины. Порядковый рабочий день месяца </w:t>
      </w:r>
      <w:r>
        <w:rPr>
          <w:i/>
          <w:sz w:val="20"/>
        </w:rPr>
        <w:t>Д</w:t>
      </w:r>
      <w:r>
        <w:rPr>
          <w:sz w:val="20"/>
        </w:rPr>
        <w:t>, в который начинается проведение технического обслуживания или ремонта машин, определяют по формуле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1939" w:dyaOrig="720">
          <v:shape id="_x0000_i1033" type="#_x0000_t75" style="width:96.75pt;height:36pt" o:ole="">
            <v:imagedata r:id="rId19" o:title=""/>
          </v:shape>
          <o:OLEObject Type="Embed" ProgID="Equation.3" ShapeID="_x0000_i1033" DrawAspect="Content" ObjectID="_1427206555" r:id="rId20"/>
        </w:object>
      </w:r>
      <w:r>
        <w:rPr>
          <w:sz w:val="20"/>
        </w:rPr>
        <w:t>,                       (3)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где   </w:t>
      </w:r>
      <w:r>
        <w:rPr>
          <w:i/>
          <w:sz w:val="20"/>
        </w:rPr>
        <w:t>п —</w:t>
      </w:r>
      <w:r>
        <w:rPr>
          <w:sz w:val="20"/>
        </w:rPr>
        <w:t xml:space="preserve"> число рабочих дней в планируемом месяце;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</w:t>
      </w:r>
      <w:r>
        <w:rPr>
          <w:position w:val="-12"/>
          <w:sz w:val="20"/>
        </w:rPr>
        <w:object w:dxaOrig="440" w:dyaOrig="360">
          <v:shape id="_x0000_i1034" type="#_x0000_t75" style="width:21.75pt;height:18pt" o:ole="">
            <v:imagedata r:id="rId21" o:title=""/>
          </v:shape>
          <o:OLEObject Type="Embed" ProgID="Equation.3" ShapeID="_x0000_i1034" DrawAspect="Content" ObjectID="_1427206556" r:id="rId22"/>
        </w:object>
      </w:r>
      <w:r>
        <w:rPr>
          <w:sz w:val="20"/>
        </w:rPr>
        <w:t xml:space="preserve"> — планируемая наработка на расчетный месяц, ч.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Если </w:t>
      </w:r>
      <w:r>
        <w:rPr>
          <w:i/>
          <w:sz w:val="20"/>
        </w:rPr>
        <w:t>Д</w:t>
      </w:r>
      <w:r>
        <w:rPr>
          <w:sz w:val="20"/>
        </w:rPr>
        <w:t xml:space="preserve"> &gt; </w:t>
      </w:r>
      <w:r>
        <w:rPr>
          <w:i/>
          <w:sz w:val="20"/>
        </w:rPr>
        <w:t>п,</w:t>
      </w:r>
      <w:r>
        <w:rPr>
          <w:sz w:val="20"/>
        </w:rPr>
        <w:t xml:space="preserve"> соответствующий вид технического обслуживания или ремонта в этом месяце не проводят.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определения даты к </w:t>
      </w:r>
      <w:r>
        <w:rPr>
          <w:i/>
          <w:sz w:val="20"/>
        </w:rPr>
        <w:t>Д</w:t>
      </w:r>
      <w:r>
        <w:rPr>
          <w:sz w:val="20"/>
        </w:rPr>
        <w:t xml:space="preserve"> добавляют число выходных дней, приходящихся на вычисленное число рабочих дней.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—</w:t>
      </w:r>
      <w:r>
        <w:rPr>
          <w:sz w:val="18"/>
        </w:rPr>
        <w:t xml:space="preserve"> Результаты расчетов по формулам (1)—(3) округляют до целых чисел в меньшую сторону.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При составлении месячных планов-графиков планируют р</w:t>
      </w:r>
      <w:r>
        <w:rPr>
          <w:sz w:val="20"/>
        </w:rPr>
        <w:t>авномерную загрузку дней в месяце. Для этого допускается корректировка периодичности в сторону увеличения или уменьшения.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ОРГАНИЗАЦИЯ ТЕХНИЧЕСКОГО ОБСЛУЖИВАНИЯ И РЕМОНТА МАШИН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Техническое обслуживание и ремонт машин выполняются строительной организацией на эксплуатационной базе или на местах использования машин с помощью передвижных средств.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</w:t>
      </w:r>
      <w:r>
        <w:rPr>
          <w:sz w:val="20"/>
        </w:rPr>
        <w:t xml:space="preserve"> Техническое обслуживание и ремонт организуют по системе УК ЭСМ, основой которой являются стандарты предприятия, устанавливающие порядок и организацию вып</w:t>
      </w:r>
      <w:r>
        <w:rPr>
          <w:sz w:val="20"/>
        </w:rPr>
        <w:t>олнения функций: планирования повышения качества технического обслуживания и ремонта, технологической подготовки производства, материально-технического снабжения, метрологического обеспечения, подготовки и обучения кадров, информационного обеспечения, стимулирования повышения качества технического обслуживания и ремонта, правового обеспечения.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</w:t>
      </w:r>
      <w:r>
        <w:rPr>
          <w:sz w:val="20"/>
        </w:rPr>
        <w:t xml:space="preserve"> Ежесменные технические обслуживания машин проводят машинисты.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Технические обслуживания (ТО), (СО) и текущие ремонты машин проводят специализированными бригадами </w:t>
      </w:r>
      <w:r>
        <w:rPr>
          <w:sz w:val="20"/>
        </w:rPr>
        <w:t>(звеньями).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Техническое диагностирование машин организуют в соответствии с требованиями ГОСТ 25044—81. Для выполнения работ по техническому диагностированию, как правило, комплектуют специальные звенья.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3.4.</w:t>
      </w:r>
      <w:r>
        <w:rPr>
          <w:sz w:val="20"/>
        </w:rPr>
        <w:t xml:space="preserve"> Слесарные и прочие работы по техническому обслуживанию и ремонту выполняют во взаимосвязи с диагностическими работами.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Диагностические работы выполняют, как правило, на специализированных участках диагностики, реже — на участках, совмещенных с другими работами по техническому обслуживанию.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Работы выполн</w:t>
      </w:r>
      <w:r>
        <w:rPr>
          <w:sz w:val="20"/>
        </w:rPr>
        <w:t>яют по следующей маршрутной технологии: уборочно-моечные работы, диагностические работы для определения технического состояния машины, далее — необходимые работы по техническому обслуживанию и ремонту, установленные в результате диагностики, затем — диагностические работы для оценки качества выполненного технического обслуживания и ремонта и определения ресурса машины.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Диагностические параметры машин, измеряемые и оцениваемые при ТО-1, ТО-2 и ТО-3, приведены в приложении 1.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3.5.</w:t>
      </w:r>
      <w:r>
        <w:rPr>
          <w:sz w:val="20"/>
        </w:rPr>
        <w:t xml:space="preserve"> Ремонт производится агрегатн</w:t>
      </w:r>
      <w:r>
        <w:rPr>
          <w:sz w:val="20"/>
        </w:rPr>
        <w:t>ым методом. Необходимый для этого обменный фонд, агрегатов создают как из новых, так и из восстановленных агрегатов.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</w:t>
      </w:r>
      <w:r>
        <w:rPr>
          <w:sz w:val="20"/>
        </w:rPr>
        <w:t xml:space="preserve"> Сдачу машин в капитальный ремонт на ремонтные предприятия и их приемку после ремонта проводят по ГОСТ 24408— 80, одноковшовых экскаваторов — по ГОСТ 24406—80, стреловых кранов — по ГОСТ 24407—80, автогрейдеров — по ГОСТ 26679—85.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Тракторы, на базе которых изготовлены машины, сдают в ремонт и выдают из ремонта по ГОСТ 18524—85; дизельные двигатели тракторного типа — по ГОСТ 18523—79.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>УЧЕТ И КОНТРОЛЬ ТЕХНИЧЕСКОГО ОБСЛУЖИВАНИЯ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РЕМОНТА МАШИН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</w:t>
      </w:r>
      <w:r>
        <w:rPr>
          <w:sz w:val="20"/>
        </w:rPr>
        <w:t xml:space="preserve"> Организации, эксплуатирующие машины, ведут учет их наработки в объеме, определяемом эксплуатационной документацией по ГОСТ 2.601-95.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</w:t>
      </w:r>
      <w:r>
        <w:rPr>
          <w:sz w:val="20"/>
        </w:rPr>
        <w:t xml:space="preserve"> При техническом диагностировании составляют диагностическую карту по форме приложения 2. В карте записывают результаты диагностирования, дают заключение о необходимом объеме и содержании работ по техническому обслуживанию и ремонту.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</w:t>
      </w:r>
      <w:r>
        <w:rPr>
          <w:sz w:val="20"/>
        </w:rPr>
        <w:t xml:space="preserve"> Выполненные плановые технические обслуживания и ремонты учитывают в журн</w:t>
      </w:r>
      <w:r>
        <w:rPr>
          <w:sz w:val="20"/>
        </w:rPr>
        <w:t>але учета технического обслуживания и ремонта машин, а неплановые — в журнале учета работ по устранению неисправностей машин. Формы журналов заполняют по ГОСТ 25646—95. Записи из журналов ежемесячно переносят в формуляры (паспорта) машин.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4.4.</w:t>
      </w:r>
      <w:r>
        <w:rPr>
          <w:sz w:val="20"/>
        </w:rPr>
        <w:t xml:space="preserve"> Порядок ведения учета и контроля технического обслуживания и ремонта машин в строительной организации устанавливается в стандартах системы УК ЭСМ.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ДИАГНОСТИЧЕСКИЕ ПАРАМЕТРЫ МАШИН,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ИЗМЕРЯЕМЫЕ ПРИ ТО-1, ТО-2 И ТО-3</w:t>
      </w:r>
    </w:p>
    <w:p w:rsidR="00000000" w:rsidRDefault="00FB4F62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306"/>
        <w:gridCol w:w="589"/>
        <w:gridCol w:w="589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 технического диагностирования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иагностические параметры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Двигатель дизельный (в целом):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Мощность двигателя, расход топлива, частота вращения коленчатого вала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цилиндро-поршневая группа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Параметры вибрации и шума в подшипниках, механизме газораспределения и т.д., количество газов, прорывающихся в картер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Компрессия в цилиндрах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кривошипно-шатунный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Давление масла в главной магистрали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механизм</w:t>
            </w: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Суммарный зазор в верхних головках шатуна и пальцев в бобышках поршня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система смазки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Давление </w:t>
            </w:r>
            <w:r>
              <w:rPr>
                <w:sz w:val="20"/>
              </w:rPr>
              <w:t xml:space="preserve">масла в главной магистрали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 масляного насоса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механизм газораспределения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Момент затяжки шпилек крепления головки цилиндров, зазоры между стержнями клапанов и бойками коромысел, неплотность клапанов газораспределения, угол начала открывания впускных клапанов, утопание клапанов в гнездах головок цилиндров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система охлаждения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Натяжение ремня вентилятора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Перепад температур охлаждающей жидкости на входе в радиатор и на выходе из него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система очистки и пода</w:t>
            </w:r>
            <w:r>
              <w:rPr>
                <w:sz w:val="20"/>
              </w:rPr>
              <w:t>чи воздуха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Засоренность воздухоочистителя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система питания двигателя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 насоса, равномерность подачи топлива, угол начала подачи топлива, давление вспрыска топлива, перепад давлений до и после фильтра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 Двигатель электрический и силовое электрооборудование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Параметры цепи питания, стартера, статора, контакторов, ротора и пускового реостата, электрогидравлических толкателей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Ток, потребляемый электродвигателем, частота вращения ротора, параметры вибрации и шума, тормозов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Гидросистема (в целом):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Продолжительность рабочего цикла, усадка штоков гидроцилиндров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насос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Давление, производительность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гидрораспределитель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Усилие перемещения золотника и ход его от нейтрального положения, усилие затяжки гаек стяжных шпилек и болтов крепления блоков золотников управления и предохранительных клапанов, утечка жидкости по золотнику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гидромотор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Давление и объемный КПД гидромотора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гидроцилиндры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Внутренние перетечки, объемный КПД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фильтры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Давление </w:t>
            </w:r>
            <w:r>
              <w:rPr>
                <w:sz w:val="20"/>
              </w:rPr>
              <w:t>перед фильтром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рабочая жидкость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Параметры качества жидкости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Электрооборудование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Уровень электролита аккумуляторных батарей, натяжение ремня генератора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Плотность электролита, точность встроенных контрольно-измерительных приборов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Напряжение батарей, сила света фар, сила звучания сигнала, зарядный ток генератора, напряжение и ток срабатывания реле-регулятора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 Пневмосистема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Натяжение ремня компрессора, герметичность системы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 Ходовая система: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Натяжение гусеничны</w:t>
            </w:r>
            <w:r>
              <w:rPr>
                <w:sz w:val="20"/>
              </w:rPr>
              <w:t xml:space="preserve">х цепей, размер зубьев звездочек, радиальные зазоры в подшипниках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а) гусеничный ход </w:t>
            </w: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направляющих колес и опорных катков, осевые зазоры в подшипниках поддерживающих роликов и кареток подвески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б) пневмоход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Давление воздуха в шинах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Величина тормозного пути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Высота протектора шин, угол развала и схождения колес, осевые зазоры в подшипниках колес и шкворней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в) ход башенных кранов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Величина тормозного пути, износ ходовых колес, рельсов, рельсовых захватов и противоугонных устройс</w:t>
            </w:r>
            <w:r>
              <w:rPr>
                <w:sz w:val="20"/>
              </w:rPr>
              <w:t>тв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7. Трансмиссия и система управления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Суммарный зазор в механизмах трансмиссии, усилия на рычагах и педалях, люфт рулевого колеса и усилие на его ободе, зазоры в подшипниках бортовых передач, зазор в подшипниках карданной передачи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8. Крановая часть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Параметры приборов безопасности, канатов, тормозов крановой части, крюковой обоймы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Трещины в металлоконструкциях и сварных швах, погнутости и вмятины. Степень коррозии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000000" w:rsidRDefault="00FB4F62">
      <w:pPr>
        <w:pStyle w:val="FR1"/>
        <w:ind w:firstLine="284"/>
        <w:jc w:val="both"/>
        <w:rPr>
          <w:noProof w:val="0"/>
          <w:sz w:val="20"/>
        </w:rPr>
      </w:pPr>
    </w:p>
    <w:p w:rsidR="00000000" w:rsidRDefault="00FB4F62">
      <w:pPr>
        <w:pStyle w:val="FR1"/>
        <w:ind w:firstLine="284"/>
        <w:jc w:val="both"/>
        <w:rPr>
          <w:sz w:val="20"/>
        </w:rPr>
      </w:pPr>
    </w:p>
    <w:p w:rsidR="00000000" w:rsidRDefault="00FB4F62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2</w:t>
      </w:r>
    </w:p>
    <w:p w:rsidR="00000000" w:rsidRDefault="00FB4F62">
      <w:pPr>
        <w:spacing w:line="240" w:lineRule="auto"/>
        <w:ind w:firstLine="284"/>
        <w:jc w:val="right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ДИАГНОСТИЧЕСКАЯ КАРТА МАШИНЫ</w:t>
      </w: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Марка машины ______</w:t>
      </w:r>
      <w:r>
        <w:rPr>
          <w:sz w:val="20"/>
        </w:rPr>
        <w:t>_____________________ Номер машины ___________________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Год изготовления _________________________ Вид последнего ремонта____________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Дата его выполнения «_____» ______________ 2000 г.</w:t>
      </w: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Дата технического диагностирования «_____» _____________ 2000 г.</w:t>
      </w:r>
    </w:p>
    <w:p w:rsidR="00000000" w:rsidRDefault="00FB4F62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43"/>
        <w:gridCol w:w="993"/>
        <w:gridCol w:w="1134"/>
        <w:gridCol w:w="1021"/>
        <w:gridCol w:w="1134"/>
        <w:gridCol w:w="1134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 диагностирования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4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параметров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Заключение о техническом состоянии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диагностические параметры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по норме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при за</w:t>
            </w:r>
            <w:r>
              <w:rPr>
                <w:sz w:val="20"/>
              </w:rPr>
              <w:t>мере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после регулировки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необходимый вид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</w:p>
    <w:p w:rsidR="00000000" w:rsidRDefault="00FB4F62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3</w:t>
      </w:r>
    </w:p>
    <w:p w:rsidR="00000000" w:rsidRDefault="00FB4F62">
      <w:pPr>
        <w:spacing w:line="240" w:lineRule="auto"/>
        <w:ind w:firstLine="284"/>
        <w:jc w:val="right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ТИПОВЫЕ НОРМЫ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периодичности, трудоемкости и продолжительности технического обслуживания</w:t>
      </w: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ремонта строительных машин</w:t>
      </w:r>
    </w:p>
    <w:p w:rsidR="00000000" w:rsidRDefault="00FB4F62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972"/>
        <w:gridCol w:w="799"/>
        <w:gridCol w:w="854"/>
        <w:gridCol w:w="700"/>
        <w:gridCol w:w="755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машин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технического обслуживания и ремонта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Периодич-ность выполне-ния </w:t>
            </w: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 выполнения одного технического обслуживания и ремонта, чел.-ч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Продол-житель-ность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техничес-кого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видам работ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выполне-ния,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обслужи-вания и ремонта, ч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диагнос-тических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слесар-ных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прочих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Экскаваторы одноковшовые с гидравлическим приводом: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пневмоколесного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трактора, 2-й размерной группы,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ковшом вместимостью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0,25-0,4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пневмоколесном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ходу, 3-й размерной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группы, 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0,4-0,65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ковшом вместимостью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0,65-1,0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414,9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5-й размерной группы,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ковшом вместимостью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1,0-1,6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529,8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6-й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1,6-2,5м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659,6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Экскаваторы одноковшовые с механическим приводом: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пневмоколесном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ходу, 3-й размерной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группы, 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0,4-0,65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 ТО-3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0,4-0,65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 ТО-3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0,65-1,0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 гусеничном ходу,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1,0-1,6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 гусеничном ходу,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6-й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ковшом вместимостью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1,6-2,5м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гусеничном ходу,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7-й размерной группы,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ковшом вместимостью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 менее 2,5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794,5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Экскаваторы многоковшовые траншейные: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цепные с глубиной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до 1,6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цепные с глубиной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1,7-2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с глубиной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2,5 м и более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роторные с глубиной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до 1,6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с глубиной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1,7-2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роторные с глубиной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копания 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Краны башенные с грузовым моментом, тм: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26 до 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61 до 10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101 до 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161 до 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251 до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401 до 630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341,1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631 до 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1001 до 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426,5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Краны стреловые автомобильные грузоподъемностью,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Краны стреловые пневмоколесные грузоподъемностью,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685,3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819,9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Краны стреловые гусеничные грузоподъемностью,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580,7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715,3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849,9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Бульдозеры на базе: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пневмоколесного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трактора тягового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класса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гусеничного трактора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тягового класса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гусеничного трактора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тягового класса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гусеничного трактора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тягового класса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гусеничного трактора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тягового класса 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гусеничного трактора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тягового класса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969,5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Скреперы прицепные с ковшом вместимостью,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Скреперы самоходные с ковшом вместимостью,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394,5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Автогрейдеры класса: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114.6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Погрузчики одноковшовые на спец-шасси и колесные навесные грузоподъемностью,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299,9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Погрузчики навесные гусеничные грузоподъемностью,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</w:t>
            </w:r>
            <w:r>
              <w:rPr>
                <w:sz w:val="20"/>
              </w:rPr>
              <w:t>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Бетоносмесители передвижные, объем готового замеса бетонной смеси, л: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65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Растворосмесители, объем готового замеса раствора, л: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Бетононасосы производительностью,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Растворонасосы производительностью,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-6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машины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для набрызга бетонной смеси производительностью,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Штукатурные агрегаты производительностью, 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Катки: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прицепные, кулачковые,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статические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тракторами класса 3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прицепные, кулачковые,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статические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тракторами класса 10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с тракторами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класса 15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прицепные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(полуприцепные) 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пневматических шинах, статические 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тракторами класса 3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с тракторами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класса 10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прицепные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(полуприцепные) 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пневматических шинах, статические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тракторами класса 15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с гладкими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вальцами, статические,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массой (без балласта)</w:t>
            </w:r>
          </w:p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с гладкими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вальцами, статические,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массой 10-15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пневматических шинах,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массой (без балласта)</w:t>
            </w:r>
          </w:p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массой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(без балласта) 10-25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147,8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</w:t>
            </w:r>
            <w:r>
              <w:rPr>
                <w:sz w:val="20"/>
              </w:rPr>
              <w:t xml:space="preserve">брационные, массой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6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16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прицепные,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вибрационные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тракторами класса 3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класса 10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322,9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дорожные машины: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трамбующая машина на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базе тракторов класса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распределители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(укладчики) дорожно-строительных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материалов и смесей производительностью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75м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асфальтоукладчики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производительностью 50 т/ч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100 т/ч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150 т/ч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самоходные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профилировщики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основания производительностью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 м/ч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бетоноукладочные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производительностью 20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60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бетоноотделочные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производительностью 25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нарезчики швов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производительностью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 м/смену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1000 м/смену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Подъемники строительные мачтовые грузоподъемностью, кг: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Передвижные электростанции мощностью, кВт: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22-36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37-60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61-100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101-135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Компрессоры: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передвижные, с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электроприводом,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0,25-0,5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1-2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3—5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передвижные, 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приводом от двигателя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внутреннего сгорания, производительностью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5-6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7—9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</w:t>
            </w:r>
            <w:r>
              <w:rPr>
                <w:sz w:val="20"/>
              </w:rPr>
              <w:t xml:space="preserve">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Буровые машины: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горизонтального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бурильно-крановые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 класса 3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бурильно-крановые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трактора класса </w:t>
            </w:r>
            <w:r>
              <w:rPr>
                <w:sz w:val="20"/>
              </w:rPr>
              <w:t>10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304,8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бурильно-крановые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трактора класса 25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364,4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автомобилей ГАЗ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бурильно-крановые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машины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автомобилей ЗИЛ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же, на базе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автомобилей КрАЗ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</w:t>
            </w:r>
          </w:p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Сваебойное оборудование: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дизель-молоты свайные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массой ударной части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1250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1800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»     2500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»     3500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дизель-молоты свайные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массой ударной части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гидромолоты с массой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ударной части 200кг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же, 600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копровые установки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(без молота свайного)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4F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FB4F62">
      <w:pPr>
        <w:spacing w:line="240" w:lineRule="auto"/>
        <w:ind w:firstLine="284"/>
        <w:jc w:val="center"/>
        <w:rPr>
          <w:sz w:val="20"/>
        </w:rPr>
      </w:pP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Общие положения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Планирование технического обслуживания и ремонта строительных машин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Организация технического обслуживания и ремонта машин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>Учет и контроль технического обслуживания и ремонта машин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1.</w:t>
      </w:r>
      <w:r>
        <w:rPr>
          <w:sz w:val="20"/>
        </w:rPr>
        <w:t xml:space="preserve"> Диагностические параметры машин, измеряемые при ТО-1,ТО-2 и ТО-3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2.</w:t>
      </w:r>
      <w:r>
        <w:rPr>
          <w:sz w:val="20"/>
        </w:rPr>
        <w:t xml:space="preserve"> Диагностическая карта машины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3.</w:t>
      </w:r>
      <w:r>
        <w:rPr>
          <w:sz w:val="20"/>
        </w:rPr>
        <w:t xml:space="preserve"> Типовые нормы периодичности, трудоемкости и продолжительности технического обслуживания и ремонта строительных машин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Экскаваторы одноковшовые с гидравлическим приводом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Экскаваторы одноковшовые с механическим приводом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Экскаваторы многоковшовые траншейные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Краны башенные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Краны стреловые автомобильные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Краны стреловые </w:t>
      </w:r>
      <w:r>
        <w:rPr>
          <w:sz w:val="20"/>
        </w:rPr>
        <w:t>пневмоколесные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Краны стреловые гусеничные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Бульдозеры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Скреперы прицепные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Скреперы самоходные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Автогрейдеры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Погрузчики одноковшовые на спецшасси и колесные навесные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Погрузчики навесные гусеничные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Бетоносмесители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Растворосмесители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Бетононасосы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Растворонасосы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Прочие машины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Катки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Прочие дорожные машины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Подъемники строительные мачтовые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Передвижные электростанции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Компрессоры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Буровые машины </w:t>
      </w:r>
    </w:p>
    <w:p w:rsidR="00000000" w:rsidRDefault="00FB4F62">
      <w:pPr>
        <w:spacing w:line="240" w:lineRule="auto"/>
        <w:ind w:firstLine="284"/>
        <w:rPr>
          <w:sz w:val="20"/>
        </w:rPr>
      </w:pPr>
      <w:r>
        <w:rPr>
          <w:sz w:val="20"/>
        </w:rPr>
        <w:t>Сваебойное оборудование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F62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6214</Words>
  <Characters>35420</Characters>
  <Application>Microsoft Office Word</Application>
  <DocSecurity>0</DocSecurity>
  <Lines>295</Lines>
  <Paragraphs>83</Paragraphs>
  <ScaleCrop>false</ScaleCrop>
  <Company>Пермский ЦНТИ</Company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