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ОБ УТВЕРЖДЕНИИ ИНСТРУКЦИИ ПО ПРОВЕДЕНИЮ </w:t>
      </w: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ОБСЛЕДОВАНИЯ ОБОРУДОВАНИЯ, ЗДАНИЙ И СООРУЖЕНИЙ ЭЛЕКТРИЧЕСКИХ И ТЕПЛОВЫХ УСТАНОВОК, ЭЛЕКТРОСТАНЦИЙ, КОТЕЛЬНЫХ, ЭЛЕКТРИЧЕСКИХ И ТЕПЛОВЫХ СЕТЕЙ </w:t>
      </w: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ЭНЕРГОСНАБЖАЮЩИХ</w:t>
      </w:r>
      <w:proofErr w:type="spellEnd"/>
      <w:r>
        <w:rPr>
          <w:b/>
          <w:sz w:val="20"/>
        </w:rPr>
        <w:t xml:space="preserve"> ОРГАНИЗАЦИЙ И ПОТРЕБИТЕЛЕЙ </w:t>
      </w: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ТЕПЛОВОЙ И ЭЛЕКТРИЧЕСКОЙ ЭНЕ</w:t>
      </w:r>
      <w:r>
        <w:rPr>
          <w:b/>
          <w:sz w:val="20"/>
        </w:rPr>
        <w:t xml:space="preserve">РГИИ </w:t>
      </w: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И.П. от 15.11.2000 № 32-01-02/30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77" w:type="dxa"/>
          </w:tcPr>
          <w:p w:rsidR="00000000" w:rsidRDefault="00C97A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Начальникам региональных </w:t>
            </w:r>
          </w:p>
          <w:p w:rsidR="00000000" w:rsidRDefault="00C97A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управлений Госэнергонадзора </w:t>
            </w:r>
          </w:p>
          <w:p w:rsidR="00000000" w:rsidRDefault="00C97A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Начальникам управлений </w:t>
            </w:r>
          </w:p>
          <w:p w:rsidR="00000000" w:rsidRDefault="00C97A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Госэнергонадзора в субъектах </w:t>
            </w:r>
          </w:p>
          <w:p w:rsidR="00000000" w:rsidRDefault="00C97A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Российской Федерации</w:t>
            </w:r>
          </w:p>
        </w:tc>
      </w:tr>
    </w:tbl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Направляется для принятия к руководству и исполнению Инструкция по проведению обследования оборудования, зданий и сооружений электрических и тепловых установок, электростанций, котельных, электрических и тепловых сетей </w:t>
      </w:r>
      <w:proofErr w:type="spellStart"/>
      <w:r>
        <w:rPr>
          <w:sz w:val="20"/>
        </w:rPr>
        <w:t>энергоснабжающих</w:t>
      </w:r>
      <w:proofErr w:type="spellEnd"/>
      <w:r>
        <w:rPr>
          <w:sz w:val="20"/>
        </w:rPr>
        <w:t xml:space="preserve"> организаций и потребителей тепловой и электрической энергии, утвержденная руководителем Госэнергонадз</w:t>
      </w:r>
      <w:r>
        <w:rPr>
          <w:sz w:val="20"/>
        </w:rPr>
        <w:t>ора 15 ноября 2000г.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связи с изложенным </w:t>
      </w:r>
      <w:proofErr w:type="spellStart"/>
      <w:r>
        <w:rPr>
          <w:sz w:val="20"/>
        </w:rPr>
        <w:t>Госэнергонадзор</w:t>
      </w:r>
      <w:proofErr w:type="spellEnd"/>
      <w:r>
        <w:rPr>
          <w:sz w:val="20"/>
        </w:rPr>
        <w:t xml:space="preserve"> обязывает: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1. С 01.01.2001 обследование и составление документов проводить в соответствии с указанной Инструкцией.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2.Начальникам управлений госэнергонадзора в субъектах Российской Федерации: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организовать разработку и не позднее 01.02.2001 утвердить единую программу обследования организаций с присоединенной мощностью электроустановок менее 750 </w:t>
      </w:r>
      <w:proofErr w:type="spellStart"/>
      <w:r>
        <w:rPr>
          <w:sz w:val="20"/>
        </w:rPr>
        <w:t>кВА</w:t>
      </w:r>
      <w:proofErr w:type="spellEnd"/>
      <w:r>
        <w:rPr>
          <w:sz w:val="20"/>
        </w:rPr>
        <w:t xml:space="preserve"> и (или) тепловых установок менее 1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>/час;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в течение 2001 года сформировать пакет программ, методик, ре</w:t>
      </w:r>
      <w:r>
        <w:rPr>
          <w:sz w:val="20"/>
        </w:rPr>
        <w:t>комендаций по проведению обследований организаций или их структурных подразделений как по отдельным темам (направлениям), так и по комплексному обследованию, а также по контролю исполнения выданных предписаний.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разработке указанных документов использовать типовые Программы обследования, утвержденные </w:t>
      </w:r>
      <w:proofErr w:type="spellStart"/>
      <w:r>
        <w:rPr>
          <w:sz w:val="20"/>
        </w:rPr>
        <w:t>Главгосэнергонадзором</w:t>
      </w:r>
      <w:proofErr w:type="spellEnd"/>
      <w:r>
        <w:rPr>
          <w:sz w:val="20"/>
        </w:rPr>
        <w:t xml:space="preserve"> России (электростанций, </w:t>
      </w:r>
      <w:proofErr w:type="spellStart"/>
      <w:r>
        <w:rPr>
          <w:sz w:val="20"/>
        </w:rPr>
        <w:t>электро-теплоустановок</w:t>
      </w:r>
      <w:proofErr w:type="spellEnd"/>
      <w:r>
        <w:rPr>
          <w:sz w:val="20"/>
        </w:rPr>
        <w:t xml:space="preserve"> и др.), а также методические материалы, разработанные управлением «</w:t>
      </w:r>
      <w:proofErr w:type="spellStart"/>
      <w:r>
        <w:rPr>
          <w:sz w:val="20"/>
        </w:rPr>
        <w:t>Владимиргосэнергонадзор</w:t>
      </w:r>
      <w:proofErr w:type="spellEnd"/>
      <w:r>
        <w:rPr>
          <w:sz w:val="20"/>
        </w:rPr>
        <w:t>».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 При необходимости, на основе типовой формы</w:t>
      </w:r>
      <w:r>
        <w:rPr>
          <w:sz w:val="20"/>
        </w:rPr>
        <w:t xml:space="preserve"> Акта-предписания разрешается разработать местную форму указанного документа, учитывающую особенности и накопленный опыт проведения обследования.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Считать утратившим силу с 01.01. 2001 Инструкцию (типовую) по проведению обследования электрических и теплопотребляющих установок и тепловых сетей потребителей, утвержденную начальником </w:t>
      </w:r>
      <w:proofErr w:type="spellStart"/>
      <w:r>
        <w:rPr>
          <w:sz w:val="20"/>
        </w:rPr>
        <w:t>Главгосэнергонадзора</w:t>
      </w:r>
      <w:proofErr w:type="spellEnd"/>
      <w:r>
        <w:rPr>
          <w:sz w:val="20"/>
        </w:rPr>
        <w:t xml:space="preserve"> России 06.12.94 (кроме приложений 1 и 2) и информационное письмо от 06.12.94 № 42-6/37-ЭТ.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Заместитель руководителя</w:t>
      </w:r>
    </w:p>
    <w:p w:rsidR="00000000" w:rsidRDefault="00C97A5A">
      <w:pPr>
        <w:spacing w:line="240" w:lineRule="auto"/>
        <w:ind w:firstLine="284"/>
        <w:rPr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4" w:type="dxa"/>
          </w:tcPr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УТВЕРЖДЕНА </w:t>
            </w:r>
          </w:p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заместителем руководителя</w:t>
            </w:r>
          </w:p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Департамента </w:t>
            </w:r>
          </w:p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 ноября 2000 г.</w:t>
            </w:r>
          </w:p>
        </w:tc>
      </w:tr>
    </w:tbl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ИНСТРУКЦИЯ ПО ПРОВЕДЕНИЮ</w:t>
      </w: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ОБСЛЕДОВАНИЯ ОБОРУДОВАНИЯ, ЗДАНИЙ И СООРУЖЕНИЙ ЭЛЕКТРИЧЕСКИХ И ТЕПЛОВЫХ УСТАНОВОК, ЭЛЕКТРОСТАНЦИЙ, КОТЕЛЬНЫХ, ЭЛЕКТРИЧЕСКИХ И ТЕПЛОВЫХ СЕТЕЙ </w:t>
      </w: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ЭНЕРГОСНАБЖАЮЩИХ</w:t>
      </w:r>
      <w:proofErr w:type="spellEnd"/>
      <w:r>
        <w:rPr>
          <w:b/>
          <w:sz w:val="20"/>
        </w:rPr>
        <w:t xml:space="preserve"> ОРГАНИЗАЦИЙ И ПОТРЕБИТЕЛЕЙ </w:t>
      </w: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ТЕПЛОВОЙ И ЭЛЕКТРИЧЕСКОЙ ЭНЕРГИИ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1.1. Инструкция по проведению обследования оборудования, зданий и сооружений электрических и тепловых установок, электростанций, котельных, электрических и тепловых сетей </w:t>
      </w:r>
      <w:proofErr w:type="spellStart"/>
      <w:r>
        <w:rPr>
          <w:sz w:val="20"/>
        </w:rPr>
        <w:t>энергоснабжающих</w:t>
      </w:r>
      <w:proofErr w:type="spellEnd"/>
      <w:r>
        <w:rPr>
          <w:sz w:val="20"/>
        </w:rPr>
        <w:t xml:space="preserve"> организаций и потребит</w:t>
      </w:r>
      <w:r>
        <w:rPr>
          <w:sz w:val="20"/>
        </w:rPr>
        <w:t>елей тепловой и электрической энергии (далее — Инструкция) составлена на основании Положения о государственном энергетическом надзоре в Российской Федерации, утвержденного постановлением Правительства Российской Федерации от 12.08.98 № 938.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1.2. Настоящая инструкция предназначена для государственных инспекторов по энергетическому надзору, осуществляющих надзор за техническим состоянием и безопасной эксплуатацией оборудования, зданий и сооружений электрических и тепловых установок, электростанций, котельных,</w:t>
      </w:r>
      <w:r>
        <w:rPr>
          <w:sz w:val="20"/>
        </w:rPr>
        <w:t xml:space="preserve"> электрических и тепловых сетей </w:t>
      </w:r>
      <w:proofErr w:type="spellStart"/>
      <w:r>
        <w:rPr>
          <w:sz w:val="20"/>
        </w:rPr>
        <w:t>энергоснабжающих</w:t>
      </w:r>
      <w:proofErr w:type="spellEnd"/>
      <w:r>
        <w:rPr>
          <w:sz w:val="20"/>
        </w:rPr>
        <w:t xml:space="preserve"> организаций и потребителей тепловой и электрической энергии (далее — обследуемая организация), в соответствии с функциями, определенными Положением о государственном энергетическом надзоре в Российской Федерации.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1.3. Инструкция устанавливает порядок организации и проведения обследования, оформления и выдачи акта-предписания, контроля исполнения предписания.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1.4. Под обследованием по вопросам энергетического надзора понимается всестороннее рассмотрение состоя</w:t>
      </w:r>
      <w:r>
        <w:rPr>
          <w:sz w:val="20"/>
        </w:rPr>
        <w:t>ния дел по одному или нескольким направлениям (темам) деятельности обследуемой организации, проводимое одним или несколькими государственными инспекторами по энергетическому надзору, комиссией (далее — инспектор) с выездом на место, оформлением и выдачей акта-предписания.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1.5. Организации с присоединенной мощностью электрических установок 750 </w:t>
      </w:r>
      <w:proofErr w:type="spellStart"/>
      <w:r>
        <w:rPr>
          <w:sz w:val="20"/>
        </w:rPr>
        <w:t>кВА</w:t>
      </w:r>
      <w:proofErr w:type="spellEnd"/>
      <w:r>
        <w:rPr>
          <w:sz w:val="20"/>
        </w:rPr>
        <w:t xml:space="preserve"> и выше и (или) тепловых установок 1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>/час и выше подлежат комплексному или тематическому обследованиям.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Тематическое обследование предусматривает проведение про</w:t>
      </w:r>
      <w:r>
        <w:rPr>
          <w:sz w:val="20"/>
        </w:rPr>
        <w:t>верки по отдельным вопросам.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Комплексное обследование предусматривает проведение проверки по всем темам одновременно, в том числе и теме рационального использования энергетических ресурсов.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Организации, имеющие мощности ниже указанных величин, подлежат обследованию по единой программе, разработанной управлением госэнергонадзора и включающей одновременно проверку всех вопросов, входящих в компетенцию Госэнергонадзора.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Обследования могут быть плановые и внеплановые. Плановое обследование проводится при осущес</w:t>
      </w:r>
      <w:r>
        <w:rPr>
          <w:sz w:val="20"/>
        </w:rPr>
        <w:t>твлении текущего надзора согласно утвержденному годовому плану работ.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Внеплановое обследование проводится после аварии, инцидента с оборудованием, пожара, стихийного бедствия, несчастного случая, а также по заданию руководства управления государственного энергетического надзора в субъекте Российской Федерации (далее управление госэнергонадзора) или вышестоящих органов госэнергонадзора.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1.6. Комплексное обследование проводится комиссией под председательством, как правило, начальника, его заместителя или нача</w:t>
      </w:r>
      <w:r>
        <w:rPr>
          <w:sz w:val="20"/>
        </w:rPr>
        <w:t>льника инспекции управления госэнергонадзора.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Периодичность плановых комплексных обследований организаций устанавливается не реже 1 раза в 5 лет.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Периодичность обследования организаций с мощностью ниже 750 </w:t>
      </w:r>
      <w:proofErr w:type="spellStart"/>
      <w:r>
        <w:rPr>
          <w:sz w:val="20"/>
        </w:rPr>
        <w:t>кВА</w:t>
      </w:r>
      <w:proofErr w:type="spellEnd"/>
      <w:r>
        <w:rPr>
          <w:sz w:val="20"/>
        </w:rPr>
        <w:t xml:space="preserve"> и (или) 1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>/час устанавливается начальником управления госэнергонадзора исходя из их количества и штатной численности инспекторского состава.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1.7. Тематическое обследование может проводиться комиссией, несколькими или одним инспектором.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 xml:space="preserve">1.8. Продолжительность обследования определяется на основании </w:t>
      </w:r>
      <w:r>
        <w:rPr>
          <w:sz w:val="20"/>
        </w:rPr>
        <w:t>нормативов времени, разработанных управлением госэнергонадзора, в зависимости от электрической и (или) тепловой мощности, количества и типов установленного оборудования, видов основного и резервного топлива, вида обследования (комплексное, тематическое) и других факторов.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1.9. Инспектор во время обследования, должен быть корректным, не превышать своих прав, проявляя при этом личную скромность, объективность и принципиальность, соблюдая установленный в обследуемой организации порядок и технику безопасности.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1.10. При обследовании двумя или более инспекторами один из них назначается старшим. При участии в обследовании работников других организаций, старшим является государственный инспектор по энергетическому надзору, если начальником управления госэнергонадзора не будет принято другое решение.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2. Организация обследования и его проведение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2.1. Инспектор, как правило, заблаговременно уведомляет руководителя организации о предстоящем проведении обследования.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2.2. До выезда в обследуемую организацию инспектор до</w:t>
      </w:r>
      <w:r>
        <w:rPr>
          <w:sz w:val="20"/>
        </w:rPr>
        <w:t>лжен ознакомиться с материалами, имеющимися в управлении госэнергонадзора, в том числе: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— перечнем зданий и сооружений, включая гидротехнические сооружения;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— перечнем и характеристиками установленного основного и вспомогательного оборудования;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— тепловой и электрической схемами;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— особенностями эксплуатации энергоустановок;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— состоянием приборов учета энергии;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— актами разграничения балансовой принадлежности и эксплуатационной ответственности сторон;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— актами-предписаниями предыдущих обследований (в том чи</w:t>
      </w:r>
      <w:r>
        <w:rPr>
          <w:sz w:val="20"/>
        </w:rPr>
        <w:t>сле другими надзорными органами) и сведениями по их выполнению;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— другими документами по усмотрению инспектора.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2.3. По прибытии в обследуемую организацию инспектор должен представиться ее руководителю или его заместителю, сообщить темы проверки, планируемое время пребывания в организации, согласовать порядок обсуждения результатов обследования, а также порядок подписания акта-предписания. Одновременно решается вопрос о представителях организации, которые будут присутствовать при обследовании.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Руководитель </w:t>
      </w:r>
      <w:r>
        <w:rPr>
          <w:sz w:val="20"/>
        </w:rPr>
        <w:t>обследуемой организации обязан представить инспектору всю необходимую документацию, в том числе акты-предписания последних обследований данной организации другими органами государственного надзора и ведомственного контроля.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2.4. В зависимости от объема обследования и особенностей обследуемой организации, по согласованию с ее представителем, инспектор намечает план обследования, который определяет последовательность, сроки проведения обследования и время посещения структурных подразделений, отделов, служб и </w:t>
      </w:r>
      <w:r>
        <w:rPr>
          <w:sz w:val="20"/>
        </w:rPr>
        <w:t>цехов, о чем представитель этой организации извещает соответствующие подразделения.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2.5. Обследование проводится инспектором на основании действующих </w:t>
      </w:r>
      <w:proofErr w:type="spellStart"/>
      <w:r>
        <w:rPr>
          <w:sz w:val="20"/>
        </w:rPr>
        <w:t>НТД</w:t>
      </w:r>
      <w:proofErr w:type="spellEnd"/>
      <w:r>
        <w:rPr>
          <w:sz w:val="20"/>
        </w:rPr>
        <w:t xml:space="preserve"> с использованием разработанных органами государственного энергетического надзора программ, методик и рекомендаций.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Программа обследования организации должна быть утверждена начальником управления госэнергонадзора или его заместителем.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Перед началом проведения обследования инспектор обязан в устной форме ознакомить представителя обследуемой организации с об</w:t>
      </w:r>
      <w:r>
        <w:rPr>
          <w:sz w:val="20"/>
        </w:rPr>
        <w:t>ъемом проверки, основными нормативно-техническими документами, выполнение требований которых подлежат проверке, порядком проведения обследования и оформления акта-предписания.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2.6. Результаты обследования оформляются актом-предписанием по типовой форме (приложение) в срок не более 10 дней после окончания осмотра и сбора информации.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2.7. Участие инспектора в расследовании произошедших аварий, инцидентов, пожаров, стихийных бедствий и несчастных случаев ведется в соответствии с действующими положениями и инст</w:t>
      </w:r>
      <w:r>
        <w:rPr>
          <w:sz w:val="20"/>
        </w:rPr>
        <w:t>рукциями.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3. Оформление акта-предписания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3.1. Текст акта-предписания условно должен быть разделен на вступительную, констатирующую, предписывающую и заключительную части.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3.2. Вступительная часть акта-предписания содержит сведения о месте и дате составления документа, наименовании вышестоящей организации (собственника энергообъекта), наименовании обследуемой организации, должность, фамилия и инициалы ее руководителя. Здесь же указываются тема и время проведения обследования.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3.3. В акте следует привести к</w:t>
      </w:r>
      <w:r>
        <w:rPr>
          <w:sz w:val="20"/>
        </w:rPr>
        <w:t>раткие технические характеристики установленного оборудования обследуемой организации, виды сжигаемого топлива, основные технико-экономические показатели, характеристики тепловых и электрических сетей.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3.4. Констатирующая часть акта должна отражать фактическое состояние предмета обследования. В ней записываются наиболее серьезные характерные нарушения, выявленные при данном обследовании.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3.5. В предписывающей части излагаются мероприятия по устранению выявленных нарушений требований нормативно-технических д</w:t>
      </w:r>
      <w:r>
        <w:rPr>
          <w:sz w:val="20"/>
        </w:rPr>
        <w:t>окументов. При этом производится обязательная ссылка на конкретный пункт или параграф документа. Предписания должны содержать как организационные (не требующие материальных затрат), так и технические (связанные с материальными затратами) мероприятия по устранению выявленных нарушений с указанием конкретного срока выполнения по каждому мероприятию. Предписание не должно противоречить нормативным документам или их ужесточать.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3.6. Мероприятия предписания записываются в повелительной форме: «Выполнить», «Разра</w:t>
      </w:r>
      <w:r>
        <w:rPr>
          <w:sz w:val="20"/>
        </w:rPr>
        <w:t>ботать», «Устранить», «Издать приказ» и т.п.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Указанные в предписании мероприятия должны быть конкретными (следует избегать формулировок «Улучшить», «Усилить», «Принять меры» и т.п.) и поддающимися контролю.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3.7. Информация о нарушениях и недостатках, выявленных инспектором и устраненных в период обследования, отражается в констатирующей части акта.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3.8. Сроки выполнения мероприятий предписания (с указанием числа, месяца и года) должны быть реальными, исходить из характера нарушений, важности мероприятия для</w:t>
      </w:r>
      <w:r>
        <w:rPr>
          <w:sz w:val="20"/>
        </w:rPr>
        <w:t xml:space="preserve"> обеспечения безопасности работающих и оборудования, возможностей обследуемой организации. Не следует указывать в предписании срок «немедленно», так как в случаях, не терпящих отлагательства, инспектор должен потребовать отключения оборудования и устранения недостатков во время его пребывания на предприятии.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Выполнение мероприятий с длительными сроками исполнения может быть предусмотрено этапами.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Для мероприятий, не требующих затрат времени, следует указывать срок — «по получении акта-предписания».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3.9. Сро</w:t>
      </w:r>
      <w:r>
        <w:rPr>
          <w:sz w:val="20"/>
        </w:rPr>
        <w:t>ки выполнения мероприятий предписания устанавливаются с учетом мнения руководителя обследуемой организации и должны быть минимальными. Сроки предписаний ведомственного контроля могут быть ужесточены.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3.10. При невыполнении мероприятий по предыдущему акту-предписанию, следует рассмотреть причины их невыполнения и, если это необходимо, включить их в акт-предписание вновь с записью «предписывается повторно» и указанием нового срока исполнения.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3.11. Мероприятия с не истекшими сроками исполнения по предыдущему </w:t>
      </w:r>
      <w:r>
        <w:rPr>
          <w:sz w:val="20"/>
        </w:rPr>
        <w:t>акту-предписанию (если их количество не превышает 5-ти) могут быть перенесены во вновь составляемый акт-предписание, после чего предписания по предыдущему акту обследования снимаются с контроля, о чем в составляемом акте следует сделать соответствующую запись.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3.12. В заключительной части акта-предписания формируются выводы по результатам обследования, при необходимости рекомендуется целесообразность подготовки приказа, разработки плана мероприятий по устранению выявленных недостатков, указывается информаци</w:t>
      </w:r>
      <w:r>
        <w:rPr>
          <w:sz w:val="20"/>
        </w:rPr>
        <w:t>я о порядке сообщения по выполненным мероприятиям предписывающей части, подписи инспектора и представителей обследуемой организации.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3.13. В </w:t>
      </w:r>
      <w:proofErr w:type="spellStart"/>
      <w:r>
        <w:rPr>
          <w:sz w:val="20"/>
        </w:rPr>
        <w:t>акт-предписания</w:t>
      </w:r>
      <w:proofErr w:type="spellEnd"/>
      <w:r>
        <w:rPr>
          <w:sz w:val="20"/>
        </w:rPr>
        <w:t xml:space="preserve"> записываются только сведения, подтверждаемые официальной отчетностью, рассмотренной документацией и личным осмотром энергоустановок.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3.14. Порядок сообщения о выполнении мероприятий предписания определяется совместным решением инспектора и представителя обследуемой организации, о чем делается отметка в строке акта-предписания «Информацию о выполнении на</w:t>
      </w:r>
      <w:r>
        <w:rPr>
          <w:sz w:val="20"/>
        </w:rPr>
        <w:t>стоящего акта-предписания представлять ...».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3.15. Текст акта-предписания перед его оформлением необходимо обсудить с представителем обследуемой организации, его аргументированные возражения по возможности принять во внимание.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3.16. Число экземпляров акта-предписания определяется инспектором совместно с представителем обследуемой организации, исходя из потребностей, и должно быть минимальным.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3.17. В конце акта-предписания записывается фраза: «Акт-предписание для исполнения получил» и ставится подпись руков</w:t>
      </w:r>
      <w:r>
        <w:rPr>
          <w:sz w:val="20"/>
        </w:rPr>
        <w:t>одителя обследуемой организации.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3.18. В случае несогласия руководителя обследуемой организации с отдельными положениями акта-предписания, инспектор должен рассмотреть доводы по этим возражениям и принять решение об изменении текста акта-предписания или же оставить его без изменения.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В последнем случае инспектор может сделать разъяснение руководителю обследуемой организации о его праве подписать документ с особым мнением.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При наличии особого мнения перед подписью делается отметка «с особым мнением», текст о</w:t>
      </w:r>
      <w:r>
        <w:rPr>
          <w:sz w:val="20"/>
        </w:rPr>
        <w:t>собого мнения прилагается к каждому экземпляру акта-предписания.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3.19. Особое мнение должно быть в десятидневный срок рассмотрено руководством управления госэнергонадзора. Письменное решение по особому мнению направляется руководителю обследованной организации и должно рассматриваться в дальнейшем как неотъемлемая и обязательная к исполнению часть акта-предписания, о чем в сопроводительном письме делается соответствующая запись.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3.20. Действия руководства управления госэнергонадзора могут быть обжалованы в </w:t>
      </w:r>
      <w:r>
        <w:rPr>
          <w:sz w:val="20"/>
        </w:rPr>
        <w:t>установленном порядке.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Подача жалобы не приостанавливает выполнения обжалуемого решения.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3.21. Все акты-предписания должны быть зарегистрированы в порядке, установленном в управлении госэнергонадзора.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4. Контроль за выполнением мероприятий акта-предписания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4.1. Контроль за выполнением предписанных мероприятий возлагается на инспектора, закрепленного за данной организацией.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Контроль осуществляется путем анализа письменных сообщений обследованной организации о выполнении мероприятий предписаний, при плановы</w:t>
      </w:r>
      <w:r>
        <w:rPr>
          <w:sz w:val="20"/>
        </w:rPr>
        <w:t>х и внеплановых обследованиях, в том числе и по контролю за выполнением предписаний.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4.2. Перенос сроков выполнения мероприятий предписания по просьбе обследованной организации может производиться руководством управления госэнергонадзора при соответствующем представлении непосредственного руководителя инспектора.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4.3. Снятие с контроля выданного предписания производится после его полного выполнения или по решению руководства управления госэнергонадзора при наличии соответствующего обоснования.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jc w:val="right"/>
        <w:rPr>
          <w:b/>
          <w:sz w:val="20"/>
        </w:rPr>
      </w:pPr>
      <w:r>
        <w:rPr>
          <w:b/>
          <w:sz w:val="20"/>
        </w:rPr>
        <w:t xml:space="preserve">типовой </w:t>
      </w:r>
    </w:p>
    <w:p w:rsidR="00000000" w:rsidRDefault="00C97A5A">
      <w:pPr>
        <w:spacing w:line="240" w:lineRule="auto"/>
        <w:ind w:firstLine="284"/>
        <w:rPr>
          <w:b/>
          <w:sz w:val="20"/>
        </w:rPr>
      </w:pP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Госэнергонадзор</w:t>
      </w:r>
      <w:proofErr w:type="spellEnd"/>
      <w:r>
        <w:rPr>
          <w:b/>
          <w:sz w:val="20"/>
        </w:rPr>
        <w:t xml:space="preserve"> </w:t>
      </w:r>
    </w:p>
    <w:p w:rsidR="00000000" w:rsidRDefault="00C97A5A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Минэнерго России</w:t>
      </w:r>
    </w:p>
    <w:p w:rsidR="00000000" w:rsidRDefault="00C97A5A">
      <w:pPr>
        <w:spacing w:line="240" w:lineRule="auto"/>
        <w:ind w:firstLine="284"/>
        <w:rPr>
          <w:b/>
          <w:sz w:val="20"/>
        </w:rPr>
      </w:pPr>
    </w:p>
    <w:p w:rsidR="00000000" w:rsidRDefault="00C97A5A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Региональное управление                                     «                » </w:t>
      </w:r>
    </w:p>
    <w:p w:rsidR="00000000" w:rsidRDefault="00C97A5A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Управление                                                             «                »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 «____»______________200__г.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            (место составления документа)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АКТ-ПРЕДПИСАНИЕ № _________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(наименование обследуемой и вышестоящей организации) 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>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(должность, </w:t>
      </w:r>
      <w:proofErr w:type="spellStart"/>
      <w:r>
        <w:rPr>
          <w:sz w:val="20"/>
        </w:rPr>
        <w:t>Ф.И.О</w:t>
      </w:r>
      <w:proofErr w:type="spellEnd"/>
      <w:r>
        <w:rPr>
          <w:sz w:val="20"/>
        </w:rPr>
        <w:t>. руководителя обследуемой организации, тел. 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Мною, государственным инспектором по энергетическому надзору Управления «                  » (комиссией в составе):   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(фамилия, имя, отчество, должность)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</w:t>
      </w:r>
      <w:r>
        <w:rPr>
          <w:sz w:val="20"/>
        </w:rPr>
        <w:t>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в присутствии___________________________________________________________________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(должность, фамилия, имя, отчество)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в</w:t>
      </w:r>
      <w:r>
        <w:rPr>
          <w:sz w:val="20"/>
        </w:rPr>
        <w:t xml:space="preserve"> период с ________ по ________200_г. проведено обследование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(вид обследования)</w:t>
      </w:r>
    </w:p>
    <w:p w:rsidR="00000000" w:rsidRDefault="00C97A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(наименование обследуемой организации) 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по теме__________________________________________________________________</w:t>
      </w:r>
      <w:r>
        <w:rPr>
          <w:sz w:val="20"/>
        </w:rPr>
        <w:t>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b/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Краткая характеристика установленного оборудования, характеристика сетей: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 результате проведенного обс</w:t>
      </w:r>
      <w:r>
        <w:rPr>
          <w:b/>
          <w:sz w:val="20"/>
        </w:rPr>
        <w:t>ледования установлено: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1.______________________________________________________________________________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2.______________________________________________________________________________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ПРЕДПИСАНИЕ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В порядке государственного энергетического надзора предлагается выполнить следующие мероприятия по устранению выявленных нарушений: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010"/>
        <w:gridCol w:w="2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Содержание мероприятия, ссылка на пункт </w:t>
            </w:r>
            <w:proofErr w:type="spellStart"/>
            <w:r>
              <w:rPr>
                <w:sz w:val="20"/>
              </w:rPr>
              <w:t>НТД</w:t>
            </w:r>
            <w:proofErr w:type="spellEnd"/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Срок исполнения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ВЫВОДЫ:</w:t>
      </w:r>
    </w:p>
    <w:p w:rsidR="00000000" w:rsidRDefault="00C97A5A">
      <w:pPr>
        <w:pStyle w:val="FR1"/>
        <w:spacing w:before="0"/>
        <w:ind w:firstLine="284"/>
        <w:jc w:val="both"/>
        <w:rPr>
          <w:sz w:val="20"/>
        </w:rPr>
      </w:pPr>
      <w:r>
        <w:rPr>
          <w:sz w:val="20"/>
        </w:rPr>
        <w:t>1.__________________________________</w:t>
      </w:r>
      <w:r>
        <w:rPr>
          <w:noProof w:val="0"/>
          <w:sz w:val="20"/>
        </w:rPr>
        <w:t>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2.______________________________________________________________________________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3.______________________________________________________________________________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Информацию о выполнении настоящего акта-предписания представлять 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97A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(куда, кому, срок и порядок представления)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Инспектор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(старший группы, председатель комисс</w:t>
      </w:r>
      <w:r>
        <w:rPr>
          <w:sz w:val="20"/>
        </w:rPr>
        <w:t>ии,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члены комиссии)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(личный штамп) _________________</w:t>
            </w:r>
          </w:p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(подпись)</w:t>
            </w:r>
          </w:p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969" w:type="dxa"/>
          </w:tcPr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</w:t>
            </w:r>
            <w:proofErr w:type="spellEnd"/>
            <w:r>
              <w:rPr>
                <w:sz w:val="20"/>
              </w:rPr>
              <w:t>.)</w:t>
            </w:r>
          </w:p>
          <w:p w:rsidR="00000000" w:rsidRDefault="00C97A5A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При обследовании присутствовали: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</w:t>
            </w:r>
            <w:proofErr w:type="spellEnd"/>
            <w:r>
              <w:rPr>
                <w:sz w:val="20"/>
              </w:rPr>
              <w:t>.)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Акт-предписание ( ___экз.) для исполнения получил:</w:t>
      </w:r>
    </w:p>
    <w:p w:rsidR="00000000" w:rsidRDefault="00C97A5A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3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(руководитель организации)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2" w:type="dxa"/>
          </w:tcPr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</w:t>
            </w:r>
            <w:proofErr w:type="spellEnd"/>
            <w:r>
              <w:rPr>
                <w:sz w:val="20"/>
              </w:rPr>
              <w:t>.)</w:t>
            </w:r>
          </w:p>
          <w:p w:rsidR="00000000" w:rsidRDefault="00C97A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C97A5A">
      <w:pPr>
        <w:spacing w:line="240" w:lineRule="auto"/>
        <w:ind w:firstLine="284"/>
        <w:rPr>
          <w:sz w:val="20"/>
        </w:rPr>
      </w:pPr>
    </w:p>
    <w:p w:rsidR="00000000" w:rsidRDefault="00C97A5A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рег</w:t>
      </w:r>
      <w:proofErr w:type="spellEnd"/>
      <w:r>
        <w:rPr>
          <w:sz w:val="20"/>
        </w:rPr>
        <w:t>. №_____________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>Акт-предписание проверен: ______</w:t>
      </w:r>
      <w:r>
        <w:rPr>
          <w:sz w:val="20"/>
        </w:rPr>
        <w:t>_____________________</w:t>
      </w:r>
    </w:p>
    <w:p w:rsidR="00000000" w:rsidRDefault="00C97A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                                                  (должность, подпись, дата)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A5A"/>
    <w:rsid w:val="00C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580"/>
      <w:jc w:val="both"/>
      <w:textAlignment w:val="baseline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380"/>
      <w:jc w:val="center"/>
      <w:textAlignment w:val="baseline"/>
    </w:pPr>
    <w:rPr>
      <w:noProof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3033</Words>
  <Characters>17291</Characters>
  <Application>Microsoft Office Word</Application>
  <DocSecurity>0</DocSecurity>
  <Lines>144</Lines>
  <Paragraphs>40</Paragraphs>
  <ScaleCrop>false</ScaleCrop>
  <Company>Elcom Ltd</Company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ПРОВЕДЕНИЮ 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